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60" w:lineRule="exact"/>
        <w:jc w:val="center"/>
        <w:textAlignment w:val="auto"/>
        <w:rPr>
          <w:rFonts w:hint="eastAsia" w:ascii="方正小标宋简体" w:hAnsi="方正小标宋简体" w:eastAsia="方正小标宋简体" w:cs="方正小标宋简体"/>
          <w:color w:val="000000" w:themeColor="text1"/>
          <w:sz w:val="44"/>
          <w:szCs w:val="44"/>
          <w:lang w:val="en-US" w:eastAsia="zh-CN"/>
          <w14:textFill>
            <w14:solidFill>
              <w14:schemeClr w14:val="tx1"/>
            </w14:solidFill>
          </w14:textFill>
        </w:rPr>
      </w:pPr>
      <w:r>
        <w:rPr>
          <w:rFonts w:hint="eastAsia" w:ascii="方正小标宋简体" w:hAnsi="方正小标宋简体" w:eastAsia="方正小标宋简体" w:cs="方正小标宋简体"/>
          <w:color w:val="000000" w:themeColor="text1"/>
          <w:sz w:val="44"/>
          <w:szCs w:val="44"/>
          <w:lang w:val="en-US" w:eastAsia="zh-CN"/>
          <w14:textFill>
            <w14:solidFill>
              <w14:schemeClr w14:val="tx1"/>
            </w14:solidFill>
          </w14:textFill>
        </w:rPr>
        <w:t>北海市城区普通住宅小区前期物业</w:t>
      </w:r>
    </w:p>
    <w:p>
      <w:pPr>
        <w:keepNext w:val="0"/>
        <w:keepLines w:val="0"/>
        <w:pageBreakBefore w:val="0"/>
        <w:widowControl w:val="0"/>
        <w:kinsoku/>
        <w:wordWrap/>
        <w:overflowPunct/>
        <w:topLinePunct w:val="0"/>
        <w:autoSpaceDE/>
        <w:autoSpaceDN/>
        <w:bidi w:val="0"/>
        <w:adjustRightInd/>
        <w:snapToGrid/>
        <w:spacing w:line="660" w:lineRule="exact"/>
        <w:jc w:val="center"/>
        <w:textAlignment w:val="auto"/>
        <w:rPr>
          <w:rFonts w:hint="eastAsia" w:ascii="方正小标宋简体" w:hAnsi="方正小标宋简体" w:eastAsia="方正小标宋简体" w:cs="方正小标宋简体"/>
          <w:color w:val="000000" w:themeColor="text1"/>
          <w:sz w:val="44"/>
          <w:szCs w:val="44"/>
          <w:lang w:val="en-US" w:eastAsia="zh-CN"/>
          <w14:textFill>
            <w14:solidFill>
              <w14:schemeClr w14:val="tx1"/>
            </w14:solidFill>
          </w14:textFill>
        </w:rPr>
      </w:pPr>
      <w:r>
        <w:rPr>
          <w:rFonts w:hint="eastAsia" w:ascii="方正小标宋简体" w:hAnsi="方正小标宋简体" w:eastAsia="方正小标宋简体" w:cs="方正小标宋简体"/>
          <w:color w:val="000000" w:themeColor="text1"/>
          <w:sz w:val="44"/>
          <w:szCs w:val="44"/>
          <w:lang w:val="en-US" w:eastAsia="zh-CN"/>
          <w14:textFill>
            <w14:solidFill>
              <w14:schemeClr w14:val="tx1"/>
            </w14:solidFill>
          </w14:textFill>
        </w:rPr>
        <w:t>管理服务收费方案</w:t>
      </w:r>
    </w:p>
    <w:p>
      <w:pPr>
        <w:keepNext w:val="0"/>
        <w:keepLines w:val="0"/>
        <w:pageBreakBefore w:val="0"/>
        <w:widowControl w:val="0"/>
        <w:kinsoku/>
        <w:wordWrap/>
        <w:overflowPunct/>
        <w:topLinePunct w:val="0"/>
        <w:autoSpaceDE/>
        <w:autoSpaceDN/>
        <w:bidi w:val="0"/>
        <w:adjustRightInd/>
        <w:snapToGrid/>
        <w:spacing w:line="660" w:lineRule="exact"/>
        <w:jc w:val="center"/>
        <w:textAlignment w:val="auto"/>
        <w:rPr>
          <w:rFonts w:hint="eastAsia" w:ascii="楷体_GB2312" w:hAnsi="楷体_GB2312" w:eastAsia="楷体_GB2312" w:cs="楷体_GB2312"/>
          <w:b/>
          <w:bCs/>
          <w:color w:val="000000" w:themeColor="text1"/>
          <w:sz w:val="32"/>
          <w:szCs w:val="32"/>
          <w:lang w:val="en-US" w:eastAsia="zh-CN"/>
          <w14:textFill>
            <w14:solidFill>
              <w14:schemeClr w14:val="tx1"/>
            </w14:solidFill>
          </w14:textFill>
        </w:rPr>
      </w:pPr>
      <w:r>
        <w:rPr>
          <w:rFonts w:hint="eastAsia" w:ascii="楷体_GB2312" w:hAnsi="楷体_GB2312" w:eastAsia="楷体_GB2312" w:cs="楷体_GB2312"/>
          <w:b/>
          <w:bCs/>
          <w:color w:val="000000" w:themeColor="text1"/>
          <w:sz w:val="32"/>
          <w:szCs w:val="32"/>
          <w:lang w:val="en-US" w:eastAsia="zh-CN"/>
          <w14:textFill>
            <w14:solidFill>
              <w14:schemeClr w14:val="tx1"/>
            </w14:solidFill>
          </w14:textFill>
        </w:rPr>
        <w:t>（征求意见稿）</w:t>
      </w:r>
    </w:p>
    <w:p>
      <w:pPr>
        <w:keepNext w:val="0"/>
        <w:keepLines w:val="0"/>
        <w:pageBreakBefore w:val="0"/>
        <w:widowControl w:val="0"/>
        <w:kinsoku/>
        <w:wordWrap/>
        <w:overflowPunct/>
        <w:topLinePunct w:val="0"/>
        <w:autoSpaceDE/>
        <w:autoSpaceDN/>
        <w:bidi w:val="0"/>
        <w:adjustRightInd/>
        <w:snapToGrid/>
        <w:spacing w:line="560" w:lineRule="exact"/>
        <w:ind w:leftChars="0"/>
        <w:jc w:val="both"/>
        <w:textAlignment w:val="auto"/>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both"/>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为加强我市住宅物业服务收费管理，规范物业服务收费行为，保障业主和物业服务人的合法权益，营造和谐的居住环境，促进物业服务行业健康发展，根据《广西壮族自治区定价目录》（桂发改收费规〔2021〕1224号）、《广西壮族自治区住宅物业服务收费管理工作指导意见》（桂价格〔2018〕108号）、《广西普通住宅小区前期物业服务等级指导标准（试行）》（桂建发〔2019〕16号）及《广西壮族自治区发展和改革委员会 广西壮族自治区住房和城乡建设厅关于明确住宅物业服务收费有关问题的通知》（桂发改价格〔2020〕192号）等有关规定，结合我市实际，制定本方案。</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jc w:val="both"/>
        <w:textAlignment w:val="auto"/>
        <w:rPr>
          <w:rFonts w:hint="eastAsia" w:ascii="黑体" w:hAnsi="黑体" w:eastAsia="黑体" w:cs="黑体"/>
          <w:color w:val="000000" w:themeColor="text1"/>
          <w:sz w:val="32"/>
          <w:szCs w:val="32"/>
          <w:lang w:val="en-US" w:eastAsia="zh-CN"/>
          <w14:textFill>
            <w14:solidFill>
              <w14:schemeClr w14:val="tx1"/>
            </w14:solidFill>
          </w14:textFill>
        </w:rPr>
      </w:pPr>
      <w:r>
        <w:rPr>
          <w:rFonts w:hint="eastAsia" w:ascii="黑体" w:hAnsi="黑体" w:eastAsia="黑体" w:cs="黑体"/>
          <w:color w:val="000000" w:themeColor="text1"/>
          <w:sz w:val="32"/>
          <w:szCs w:val="32"/>
          <w:lang w:val="en-US" w:eastAsia="zh-CN"/>
          <w14:textFill>
            <w14:solidFill>
              <w14:schemeClr w14:val="tx1"/>
            </w14:solidFill>
          </w14:textFill>
        </w:rPr>
        <w:t>一、适用范围</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jc w:val="both"/>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本方案适用于北海市城区（海城区、银海区、铁山港区）范围内保障性住房（含公共租赁住房、经济适用房、限价商品住房、廉租房、政策性租赁费）、房改房、老旧住宅小区、普通住宅小区开展前期物业服务活动的收费及监督管理。</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jc w:val="both"/>
        <w:textAlignment w:val="auto"/>
        <w:rPr>
          <w:rFonts w:hint="eastAsia" w:ascii="黑体" w:hAnsi="黑体" w:eastAsia="黑体" w:cs="黑体"/>
          <w:color w:val="000000" w:themeColor="text1"/>
          <w:sz w:val="32"/>
          <w:szCs w:val="32"/>
          <w:lang w:val="en-US" w:eastAsia="zh-CN"/>
          <w14:textFill>
            <w14:solidFill>
              <w14:schemeClr w14:val="tx1"/>
            </w14:solidFill>
          </w14:textFill>
        </w:rPr>
      </w:pPr>
      <w:r>
        <w:rPr>
          <w:rFonts w:hint="eastAsia" w:ascii="黑体" w:hAnsi="黑体" w:eastAsia="黑体" w:cs="黑体"/>
          <w:color w:val="000000" w:themeColor="text1"/>
          <w:sz w:val="32"/>
          <w:szCs w:val="32"/>
          <w:lang w:val="en-US" w:eastAsia="zh-CN"/>
          <w14:textFill>
            <w14:solidFill>
              <w14:schemeClr w14:val="tx1"/>
            </w14:solidFill>
          </w14:textFill>
        </w:rPr>
        <w:t>二、物业服务收费项目及收费管理形式</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3" w:firstLineChars="200"/>
        <w:jc w:val="both"/>
        <w:textAlignment w:val="auto"/>
        <w:rPr>
          <w:rFonts w:hint="eastAsia" w:ascii="楷体_GB2312" w:hAnsi="楷体_GB2312" w:eastAsia="楷体_GB2312" w:cs="楷体_GB2312"/>
          <w:b/>
          <w:bCs/>
          <w:color w:val="000000" w:themeColor="text1"/>
          <w:sz w:val="32"/>
          <w:szCs w:val="32"/>
          <w:lang w:val="en-US" w:eastAsia="zh-CN"/>
          <w14:textFill>
            <w14:solidFill>
              <w14:schemeClr w14:val="tx1"/>
            </w14:solidFill>
          </w14:textFill>
        </w:rPr>
      </w:pPr>
      <w:r>
        <w:rPr>
          <w:rFonts w:hint="eastAsia" w:ascii="楷体_GB2312" w:hAnsi="楷体_GB2312" w:eastAsia="楷体_GB2312" w:cs="楷体_GB2312"/>
          <w:b/>
          <w:bCs/>
          <w:color w:val="000000" w:themeColor="text1"/>
          <w:sz w:val="32"/>
          <w:szCs w:val="32"/>
          <w:lang w:val="en-US" w:eastAsia="zh-CN"/>
          <w14:textFill>
            <w14:solidFill>
              <w14:schemeClr w14:val="tx1"/>
            </w14:solidFill>
          </w14:textFill>
        </w:rPr>
        <w:t>（一）物业服务收费项目</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jc w:val="both"/>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物业服务人可向业主或物业使用人收取住宅物业服务费、车辆停放服务费、车位（库）物业服务费、车位（库）租赁费、</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装修垃圾清运费、电梯运行费、消防设施运行费、出入证（卡）制作工本费、二次供水加压费。除上述收费项目以及业主自愿委托要求提供特定服务收取的费用外，物业服务人不得擅自设立收费项目收取其它任何费用。</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Chars="0" w:firstLine="643" w:firstLineChars="200"/>
        <w:jc w:val="both"/>
        <w:textAlignment w:val="auto"/>
        <w:rPr>
          <w:rFonts w:hint="eastAsia" w:ascii="楷体_GB2312" w:hAnsi="楷体_GB2312" w:eastAsia="楷体_GB2312" w:cs="楷体_GB2312"/>
          <w:b/>
          <w:bCs/>
          <w:color w:val="000000" w:themeColor="text1"/>
          <w:sz w:val="32"/>
          <w:szCs w:val="32"/>
          <w:lang w:val="en-US" w:eastAsia="zh-CN"/>
          <w14:textFill>
            <w14:solidFill>
              <w14:schemeClr w14:val="tx1"/>
            </w14:solidFill>
          </w14:textFill>
        </w:rPr>
      </w:pPr>
      <w:r>
        <w:rPr>
          <w:rFonts w:hint="eastAsia" w:ascii="楷体_GB2312" w:hAnsi="楷体_GB2312" w:eastAsia="楷体_GB2312" w:cs="楷体_GB2312"/>
          <w:b/>
          <w:bCs/>
          <w:color w:val="000000" w:themeColor="text1"/>
          <w:sz w:val="32"/>
          <w:szCs w:val="32"/>
          <w:lang w:val="en-US" w:eastAsia="zh-CN"/>
          <w14:textFill>
            <w14:solidFill>
              <w14:schemeClr w14:val="tx1"/>
            </w14:solidFill>
          </w14:textFill>
        </w:rPr>
        <w:t>物业服务收费管理形式</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jc w:val="both"/>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1、实行政府指导价管理的收费项目</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jc w:val="both"/>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保障性住房（含公共租赁住房、经济适用房、限价商品住房、廉租房、政策性租赁费）、房改房、老旧住宅小区物业管理服务收费、普通住宅小区前期物业（业主大会成立之前）管理服务收费及其车辆停放服务费、车位（库）物业服务费、车位（库）租赁费实行政府指导价，收费标准由市发展改革委会同市住建局制定（调整）。</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jc w:val="both"/>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2、实行市场调节价管理的收费项目</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jc w:val="both"/>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其他类型物业及成立业主大会之后的普通住宅物业的住宅物业服务费、车辆停放服务费、车位（库）物业服务费、车位（库）租赁费及其</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装修垃圾清运费、电梯运行费、消防设施运行费、出入证（卡）制作工本费、二次供水加压费等按规定实行市场调节价，收费标准由物业服务人根据《价格法》，遵循公平、公开和诚实信用的原则，依据服务成本制定或与业主（物业使用人）协商确定。</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jc w:val="both"/>
        <w:textAlignment w:val="auto"/>
        <w:rPr>
          <w:rFonts w:hint="eastAsia" w:ascii="黑体" w:hAnsi="黑体" w:eastAsia="黑体" w:cs="黑体"/>
          <w:color w:val="000000" w:themeColor="text1"/>
          <w:sz w:val="32"/>
          <w:szCs w:val="32"/>
          <w:lang w:val="en-US" w:eastAsia="zh-CN"/>
          <w14:textFill>
            <w14:solidFill>
              <w14:schemeClr w14:val="tx1"/>
            </w14:solidFill>
          </w14:textFill>
        </w:rPr>
      </w:pPr>
      <w:r>
        <w:rPr>
          <w:rFonts w:hint="eastAsia" w:ascii="黑体" w:hAnsi="黑体" w:eastAsia="黑体" w:cs="黑体"/>
          <w:color w:val="000000" w:themeColor="text1"/>
          <w:sz w:val="32"/>
          <w:szCs w:val="32"/>
          <w:lang w:val="en-US" w:eastAsia="zh-CN"/>
          <w14:textFill>
            <w14:solidFill>
              <w14:schemeClr w14:val="tx1"/>
            </w14:solidFill>
          </w14:textFill>
        </w:rPr>
        <w:t>三、实行政府指导价管理的物业服务收费标准</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jc w:val="both"/>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已建成的住宅小区物业服务等级按《广西普通住宅小区前期物业服务等级指导标准（试行）》的规定分为一至五等级，实行政府指导价管理的住宅物业服务收费标准相对应分一至五等级定价，</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车辆停放服务费、车位</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（库）物业服务费、车位（库）租赁费分类别（两类）定价：</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jc w:val="both"/>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（一）住宅物业服务费标准详见附件</w:t>
      </w:r>
      <w:bookmarkStart w:id="0" w:name="_GoBack"/>
      <w:bookmarkEnd w:id="0"/>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，其收费标准为最高限价，收费标准可适当下浮。</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jc w:val="both"/>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（二）</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车辆停放服务费、车位</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（库）物业服务费、车位（库）租赁费按《</w:t>
      </w:r>
      <w:r>
        <w:rPr>
          <w:rFonts w:hint="eastAsia" w:ascii="仿宋_GB2312" w:hAnsi="仿宋_GB2312" w:eastAsia="仿宋_GB2312" w:cs="仿宋_GB2312"/>
          <w:b w:val="0"/>
          <w:bCs/>
          <w:color w:val="auto"/>
          <w:sz w:val="32"/>
          <w:szCs w:val="32"/>
          <w:highlight w:val="none"/>
        </w:rPr>
        <w:t>北海市住宅小区停车服务收费方案</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》执行，其收费标准为最高限价，收费标准可适当下浮。</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jc w:val="both"/>
        <w:textAlignment w:val="auto"/>
        <w:rPr>
          <w:rFonts w:hint="eastAsia" w:ascii="黑体" w:hAnsi="黑体" w:eastAsia="黑体" w:cs="黑体"/>
          <w:color w:val="000000" w:themeColor="text1"/>
          <w:sz w:val="32"/>
          <w:szCs w:val="32"/>
          <w:lang w:val="en-US" w:eastAsia="zh-CN"/>
          <w14:textFill>
            <w14:solidFill>
              <w14:schemeClr w14:val="tx1"/>
            </w14:solidFill>
          </w14:textFill>
        </w:rPr>
      </w:pPr>
      <w:r>
        <w:rPr>
          <w:rFonts w:hint="eastAsia" w:ascii="黑体" w:hAnsi="黑体" w:eastAsia="黑体" w:cs="黑体"/>
          <w:color w:val="000000" w:themeColor="text1"/>
          <w:sz w:val="32"/>
          <w:szCs w:val="32"/>
          <w:lang w:val="en-US" w:eastAsia="zh-CN"/>
          <w14:textFill>
            <w14:solidFill>
              <w14:schemeClr w14:val="tx1"/>
            </w14:solidFill>
          </w14:textFill>
        </w:rPr>
        <w:t>四、有关规定</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jc w:val="both"/>
        <w:textAlignment w:val="auto"/>
        <w:rPr>
          <w:rFonts w:hint="eastAsia" w:ascii="仿宋_GB2312" w:hAnsi="仿宋_GB2312" w:eastAsia="仿宋"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（一）</w:t>
      </w:r>
      <w:r>
        <w:rPr>
          <w:rFonts w:hint="eastAsia" w:ascii="仿宋" w:hAnsi="仿宋" w:eastAsia="仿宋" w:cs="仿宋"/>
          <w:color w:val="auto"/>
          <w:sz w:val="32"/>
          <w:szCs w:val="32"/>
          <w:highlight w:val="none"/>
        </w:rPr>
        <w:t>本方案公布实施后各适用小区的</w:t>
      </w:r>
      <w:r>
        <w:rPr>
          <w:rFonts w:hint="eastAsia" w:ascii="仿宋" w:hAnsi="仿宋" w:eastAsia="仿宋" w:cs="仿宋"/>
          <w:color w:val="auto"/>
          <w:sz w:val="32"/>
          <w:szCs w:val="32"/>
          <w:highlight w:val="none"/>
          <w:lang w:eastAsia="zh-CN"/>
        </w:rPr>
        <w:t>物业</w:t>
      </w:r>
      <w:r>
        <w:rPr>
          <w:rFonts w:hint="eastAsia" w:ascii="仿宋" w:hAnsi="仿宋" w:eastAsia="仿宋" w:cs="仿宋"/>
          <w:color w:val="auto"/>
          <w:sz w:val="32"/>
          <w:szCs w:val="32"/>
          <w:highlight w:val="none"/>
        </w:rPr>
        <w:t>服务收费按本方案指导收费标准执行</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w:t>
      </w:r>
      <w:r>
        <w:rPr>
          <w:rFonts w:hint="eastAsia" w:ascii="仿宋" w:hAnsi="仿宋" w:eastAsia="仿宋" w:cs="仿宋"/>
          <w:color w:val="auto"/>
          <w:sz w:val="32"/>
          <w:szCs w:val="32"/>
        </w:rPr>
        <w:t>个别住宅小区由于管理服务费用开支大、收费难以维持正常</w:t>
      </w:r>
      <w:r>
        <w:rPr>
          <w:rFonts w:hint="eastAsia" w:ascii="仿宋" w:hAnsi="仿宋" w:eastAsia="仿宋" w:cs="仿宋"/>
          <w:color w:val="auto"/>
          <w:sz w:val="32"/>
          <w:szCs w:val="32"/>
          <w:lang w:eastAsia="zh-CN"/>
        </w:rPr>
        <w:t>物业</w:t>
      </w:r>
      <w:r>
        <w:rPr>
          <w:rFonts w:hint="eastAsia" w:ascii="仿宋" w:hAnsi="仿宋" w:eastAsia="仿宋" w:cs="仿宋"/>
          <w:color w:val="auto"/>
          <w:sz w:val="32"/>
          <w:szCs w:val="32"/>
        </w:rPr>
        <w:t>服务的，物业服务人可按定价程序向市发展改革委</w:t>
      </w:r>
      <w:r>
        <w:rPr>
          <w:rFonts w:hint="eastAsia" w:ascii="仿宋" w:hAnsi="仿宋" w:eastAsia="仿宋" w:cs="仿宋"/>
          <w:color w:val="auto"/>
          <w:sz w:val="32"/>
          <w:szCs w:val="32"/>
          <w:lang w:eastAsia="zh-CN"/>
        </w:rPr>
        <w:t>及住建部门</w:t>
      </w:r>
      <w:r>
        <w:rPr>
          <w:rFonts w:hint="eastAsia" w:ascii="仿宋" w:hAnsi="仿宋" w:eastAsia="仿宋" w:cs="仿宋"/>
          <w:color w:val="auto"/>
          <w:sz w:val="32"/>
          <w:szCs w:val="32"/>
        </w:rPr>
        <w:t>提出申请，经批准后适当调整</w:t>
      </w:r>
      <w:r>
        <w:rPr>
          <w:rFonts w:hint="eastAsia" w:ascii="仿宋" w:hAnsi="仿宋" w:eastAsia="仿宋" w:cs="仿宋"/>
          <w:color w:val="auto"/>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jc w:val="both"/>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物业服务费、车位</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（库）物业服务费、车位（库）租赁费收费标准调整变更前，物业服务人应与业主变更物业服务合同（协议），双方予以明确。</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jc w:val="both"/>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（二）</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本方案发布后</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申请核定</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新建普通住宅小区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住宅物业服务费、</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车辆停放服务费、车位</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（库）物业服务费、车位（库）租赁费办理办法：</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jc w:val="both"/>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住宅小区建设单位在办理商品房预售许可或现房销售备案前，应向市发展改革委提交书面申请、服务成本初步测算、服务等级承诺书等，市发展改革委会同市住建局综合考虑物业服务内容、服务成本、物业服务行业标准、服务等级及业主承受能力等因素基础上，参照本规定等级收费标准核定具体收费标准（指导价），住宅小区建设单位在此标准（指导价）范围内通过合法方式确定物业服务人及具体收费标准并在前期物业服务合同中约定。</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jc w:val="both"/>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（三）规范电梯运行费、二次供水加压费、</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消防设施运行费收费行为。</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jc w:val="both"/>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电梯运行费、二次供水加压费、</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消防设施运行费应按实际发生费用据实分摊收取，专款专用，单独设置账管理，每半年向业主公布一次收支情况。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jc w:val="both"/>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（四）规范转供水电费损耗分摊方式。</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jc w:val="both"/>
        <w:textAlignment w:val="auto"/>
        <w:rPr>
          <w:rFonts w:hint="eastAsia" w:ascii="仿宋_GB2312" w:hAnsi="仿宋_GB2312" w:eastAsia="仿宋_GB2312" w:cs="仿宋_GB2312"/>
          <w:color w:val="000000" w:themeColor="text1"/>
          <w:sz w:val="32"/>
          <w:szCs w:val="32"/>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shd w:val="clear" w:color="auto" w:fill="auto"/>
          <w:lang w:val="en-US" w:eastAsia="zh-CN"/>
          <w14:textFill>
            <w14:solidFill>
              <w14:schemeClr w14:val="tx1"/>
            </w14:solidFill>
          </w14:textFill>
        </w:rPr>
        <w:t>1、电费损耗分摊。供电部门未抄表到户的住宅小区，物业服务人应按政府定价标准收取分表费用，合理分摊总分表之间的正常损耗。损耗电费通过用户抄表电量基础上顺加损耗电量的方式计收，用户电价保持不变。损耗电量可按实各分表电量、用电容量、实际用电面积等占比方式分摊。计算公式：</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jc w:val="both"/>
        <w:textAlignment w:val="auto"/>
        <w:rPr>
          <w:rFonts w:hint="eastAsia" w:ascii="仿宋_GB2312" w:hAnsi="仿宋_GB2312" w:eastAsia="仿宋_GB2312" w:cs="仿宋_GB2312"/>
          <w:color w:val="000000" w:themeColor="text1"/>
          <w:sz w:val="32"/>
          <w:szCs w:val="32"/>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shd w:val="clear" w:color="auto" w:fill="auto"/>
          <w:lang w:val="en-US" w:eastAsia="zh-CN"/>
          <w14:textFill>
            <w14:solidFill>
              <w14:schemeClr w14:val="tx1"/>
            </w14:solidFill>
          </w14:textFill>
        </w:rPr>
        <w:t>终端用户电费＝终端用户分表抄见电量×转供电主体购电单价+分摊的损耗电量×转供电主体购电单价</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jc w:val="both"/>
        <w:textAlignment w:val="auto"/>
        <w:rPr>
          <w:rFonts w:hint="eastAsia" w:ascii="仿宋_GB2312" w:hAnsi="仿宋_GB2312" w:eastAsia="仿宋_GB2312" w:cs="仿宋_GB2312"/>
          <w:color w:val="000000" w:themeColor="text1"/>
          <w:sz w:val="32"/>
          <w:szCs w:val="32"/>
          <w:shd w:val="clear" w:color="FFFFFF" w:fill="D9D9D9"/>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原则上收取用户电费费、损耗电费总和不超过物业服务人向供电部门缴纳的总表费用，物业服务人应在每次抄表计费时及时向业主公布电费损耗实际发生数等信息。</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jc w:val="both"/>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水费损耗分摊。供水部门未抄表到户的住宅小区，物业服务人应合理分摊总分表之间的正常损耗，原则上收取用户水费、分摊水费总和不超过物业服务人向供水部门缴纳的总表费用，物业服务人应在每次抄表计费时及时向业主公布水费损耗、分摊实际发生数等信息。</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jc w:val="both"/>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（五）规范生活垃圾处理费代收费行为。</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jc w:val="both"/>
        <w:textAlignment w:val="auto"/>
        <w:rPr>
          <w:rFonts w:hint="eastAsia" w:ascii="仿宋_GB2312" w:hAnsi="仿宋_GB2312" w:eastAsia="仿宋_GB2312" w:cs="仿宋_GB2312"/>
          <w:color w:val="000000" w:themeColor="text1"/>
          <w:sz w:val="32"/>
          <w:szCs w:val="32"/>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生活垃圾处理费属于环卫部门收取的经营服务性收费项目，按“谁污染，谁付费”原则收取，</w:t>
      </w:r>
      <w:r>
        <w:rPr>
          <w:rFonts w:hint="eastAsia" w:ascii="仿宋_GB2312" w:hAnsi="仿宋_GB2312" w:eastAsia="仿宋_GB2312" w:cs="仿宋_GB2312"/>
          <w:color w:val="000000" w:themeColor="text1"/>
          <w:sz w:val="32"/>
          <w:szCs w:val="32"/>
          <w:shd w:val="clear" w:color="auto" w:fill="auto"/>
          <w:lang w:val="en-US" w:eastAsia="zh-CN"/>
          <w14:textFill>
            <w14:solidFill>
              <w14:schemeClr w14:val="tx1"/>
            </w14:solidFill>
          </w14:textFill>
        </w:rPr>
        <w:t>物业服务人受环卫部门委托代收生活垃圾处理费的，应按住户实际居住情况按月收取，不得对闲置房屋的业主收取。</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jc w:val="both"/>
        <w:textAlignment w:val="auto"/>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（六）其他住宅物业服务收费管理事项按《广西壮族自治区住宅物业服务收费管理工作指导意见》（桂价格〔2018〕108号）和《广西壮族自治区发展和改革委员会 广西壮族自治区住房和城乡建设厅关于明确住宅物业服务收费有关问题的通知》桂发改价格〔2020〕192号）</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有关规定执行。</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jc w:val="both"/>
        <w:textAlignment w:val="auto"/>
        <w:rPr>
          <w:rFonts w:hint="eastAsia" w:ascii="黑体" w:hAnsi="黑体" w:eastAsia="黑体" w:cs="黑体"/>
          <w:color w:val="000000" w:themeColor="text1"/>
          <w:sz w:val="32"/>
          <w:szCs w:val="32"/>
          <w:lang w:val="en-US" w:eastAsia="zh-CN"/>
          <w14:textFill>
            <w14:solidFill>
              <w14:schemeClr w14:val="tx1"/>
            </w14:solidFill>
          </w14:textFill>
        </w:rPr>
      </w:pPr>
      <w:r>
        <w:rPr>
          <w:rFonts w:hint="eastAsia" w:ascii="黑体" w:hAnsi="黑体" w:eastAsia="黑体" w:cs="黑体"/>
          <w:color w:val="000000" w:themeColor="text1"/>
          <w:sz w:val="32"/>
          <w:szCs w:val="32"/>
          <w:lang w:val="en-US" w:eastAsia="zh-CN"/>
          <w14:textFill>
            <w14:solidFill>
              <w14:schemeClr w14:val="tx1"/>
            </w14:solidFill>
          </w14:textFill>
        </w:rPr>
        <w:t>五、加强管理</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jc w:val="both"/>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实行明码标价制度。物业服务人要在物业服务区域和收费场所的显著位置设置收费公示牌（栏），公示物业服务企业名称、物业服务等级、物业服务内容、收费标准、收费对象、收费项目、价格管理形式、收费依据、计收方式、投诉电话等有关情况，不得收取未经公示的收费项目，收费主体、收费项目及标准变动应及时变更。收费公示牌（栏）内容及格式由物业服务人按市发展改革委、市场监管局的规定制作并报备案。</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jc w:val="both"/>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2、物业服务人要严格依法经营，履行合同义务，建立健全“诚信服务、信息透明、专业规范”的服务制度，接受业主的监督和投诉，及时回应和处理业主诉求。</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jc w:val="both"/>
        <w:textAlignment w:val="auto"/>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3、各级价格、住房建设（物业）行政主管部门要依照职责加强住宅物业服务收费的管理，规范物业服务和收费行为；各级市场监管部门要依法查处物业服务收费价格违法行为，维护业主的合法权益。</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jc w:val="both"/>
        <w:textAlignment w:val="auto"/>
        <w:rPr>
          <w:rFonts w:hint="eastAsia" w:ascii="黑体" w:hAnsi="黑体" w:eastAsia="黑体" w:cs="黑体"/>
          <w:color w:val="000000" w:themeColor="text1"/>
          <w:sz w:val="32"/>
          <w:szCs w:val="32"/>
          <w:lang w:val="en-US" w:eastAsia="zh-CN"/>
          <w14:textFill>
            <w14:solidFill>
              <w14:schemeClr w14:val="tx1"/>
            </w14:solidFill>
          </w14:textFill>
        </w:rPr>
      </w:pPr>
      <w:r>
        <w:rPr>
          <w:rFonts w:hint="eastAsia" w:ascii="黑体" w:hAnsi="黑体" w:eastAsia="黑体" w:cs="黑体"/>
          <w:color w:val="000000" w:themeColor="text1"/>
          <w:sz w:val="32"/>
          <w:szCs w:val="32"/>
          <w:lang w:val="en-US" w:eastAsia="zh-CN"/>
          <w14:textFill>
            <w14:solidFill>
              <w14:schemeClr w14:val="tx1"/>
            </w14:solidFill>
          </w14:textFill>
        </w:rPr>
        <w:t>六、执行时间</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jc w:val="both"/>
        <w:textAlignment w:val="auto"/>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本方案有效期五年，自2022年 月  日起执行，执行期间如国家、自治区有新的政策规定则从其规定，执行期满重新制定。原有关规定与本方案不符的以本方案为准。</w:t>
      </w:r>
    </w:p>
    <w:p>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both"/>
        <w:textAlignment w:val="auto"/>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both"/>
        <w:textAlignment w:val="auto"/>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附件：北海市城区（城市建成区）普通住宅小区前期</w:t>
      </w:r>
    </w:p>
    <w:p>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both"/>
        <w:textAlignment w:val="auto"/>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　　　　物业服务收费标准</w:t>
      </w:r>
    </w:p>
    <w:p>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both"/>
        <w:textAlignment w:val="auto"/>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p>
    <w:p>
      <w:pPr>
        <w:rPr>
          <w:rFonts w:hint="eastAsia" w:ascii="仿宋_GB2312" w:hAnsi="仿宋_GB2312" w:eastAsia="仿宋_GB2312" w:cs="仿宋_GB2312"/>
          <w:color w:val="000000" w:themeColor="text1"/>
          <w:sz w:val="32"/>
          <w:szCs w:val="32"/>
          <w14:textFill>
            <w14:solidFill>
              <w14:schemeClr w14:val="tx1"/>
            </w14:solidFill>
          </w14:textFill>
        </w:rPr>
      </w:pPr>
    </w:p>
    <w:p>
      <w:pPr>
        <w:rPr>
          <w:rFonts w:hint="eastAsia" w:ascii="仿宋_GB2312" w:hAnsi="仿宋_GB2312" w:eastAsia="仿宋_GB2312" w:cs="仿宋_GB2312"/>
          <w:color w:val="000000" w:themeColor="text1"/>
          <w:sz w:val="32"/>
          <w:szCs w:val="32"/>
          <w14:textFill>
            <w14:solidFill>
              <w14:schemeClr w14:val="tx1"/>
            </w14:solidFill>
          </w14:textFill>
        </w:rPr>
      </w:pPr>
    </w:p>
    <w:p>
      <w:pPr>
        <w:rPr>
          <w:rFonts w:hint="eastAsia" w:ascii="仿宋_GB2312" w:hAnsi="仿宋_GB2312" w:eastAsia="仿宋_GB2312" w:cs="仿宋_GB2312"/>
          <w:color w:val="000000" w:themeColor="text1"/>
          <w:sz w:val="32"/>
          <w:szCs w:val="32"/>
          <w14:textFill>
            <w14:solidFill>
              <w14:schemeClr w14:val="tx1"/>
            </w14:solidFill>
          </w14:textFill>
        </w:rPr>
      </w:pPr>
    </w:p>
    <w:p>
      <w:pPr>
        <w:rPr>
          <w:rFonts w:hint="eastAsia" w:ascii="仿宋_GB2312" w:hAnsi="仿宋_GB2312" w:eastAsia="仿宋_GB2312" w:cs="仿宋_GB2312"/>
          <w:color w:val="000000" w:themeColor="text1"/>
          <w:sz w:val="32"/>
          <w:szCs w:val="32"/>
          <w14:textFill>
            <w14:solidFill>
              <w14:schemeClr w14:val="tx1"/>
            </w14:solidFill>
          </w14:textFill>
        </w:rPr>
      </w:pPr>
    </w:p>
    <w:p>
      <w:pPr>
        <w:rPr>
          <w:rFonts w:hint="eastAsia" w:ascii="仿宋_GB2312" w:hAnsi="仿宋_GB2312" w:eastAsia="仿宋_GB2312" w:cs="仿宋_GB2312"/>
          <w:color w:val="000000" w:themeColor="text1"/>
          <w:sz w:val="32"/>
          <w:szCs w:val="32"/>
          <w14:textFill>
            <w14:solidFill>
              <w14:schemeClr w14:val="tx1"/>
            </w14:solidFill>
          </w14:textFill>
        </w:rPr>
      </w:pPr>
    </w:p>
    <w:p>
      <w:pPr>
        <w:rPr>
          <w:rFonts w:hint="eastAsia" w:ascii="仿宋_GB2312" w:hAnsi="仿宋_GB2312" w:eastAsia="仿宋_GB2312" w:cs="仿宋_GB2312"/>
          <w:color w:val="000000" w:themeColor="text1"/>
          <w:sz w:val="32"/>
          <w:szCs w:val="32"/>
          <w14:textFill>
            <w14:solidFill>
              <w14:schemeClr w14:val="tx1"/>
            </w14:solidFill>
          </w14:textFill>
        </w:rPr>
      </w:pPr>
    </w:p>
    <w:p>
      <w:pPr>
        <w:rPr>
          <w:rFonts w:hint="eastAsia" w:ascii="仿宋_GB2312" w:hAnsi="仿宋_GB2312" w:eastAsia="仿宋_GB2312" w:cs="仿宋_GB2312"/>
          <w:color w:val="000000" w:themeColor="text1"/>
          <w:sz w:val="32"/>
          <w:szCs w:val="32"/>
          <w14:textFill>
            <w14:solidFill>
              <w14:schemeClr w14:val="tx1"/>
            </w14:solidFill>
          </w14:textFill>
        </w:rPr>
      </w:pPr>
    </w:p>
    <w:p>
      <w:pPr>
        <w:rPr>
          <w:rFonts w:hint="eastAsia" w:ascii="仿宋_GB2312" w:hAnsi="仿宋_GB2312" w:eastAsia="仿宋_GB2312" w:cs="仿宋_GB2312"/>
          <w:color w:val="000000" w:themeColor="text1"/>
          <w:sz w:val="32"/>
          <w:szCs w:val="32"/>
          <w14:textFill>
            <w14:solidFill>
              <w14:schemeClr w14:val="tx1"/>
            </w14:solidFill>
          </w14:textFill>
        </w:rPr>
      </w:pPr>
    </w:p>
    <w:p>
      <w:pPr>
        <w:rPr>
          <w:rFonts w:hint="eastAsia" w:ascii="仿宋_GB2312" w:hAnsi="仿宋_GB2312" w:eastAsia="仿宋_GB2312" w:cs="仿宋_GB2312"/>
          <w:color w:val="000000" w:themeColor="text1"/>
          <w:sz w:val="32"/>
          <w:szCs w:val="32"/>
          <w14:textFill>
            <w14:solidFill>
              <w14:schemeClr w14:val="tx1"/>
            </w14:solidFill>
          </w14:textFill>
        </w:rPr>
      </w:pPr>
    </w:p>
    <w:p>
      <w:pPr>
        <w:rPr>
          <w:rFonts w:hint="eastAsia" w:ascii="仿宋_GB2312" w:hAnsi="仿宋_GB2312" w:eastAsia="仿宋_GB2312" w:cs="仿宋_GB2312"/>
          <w:color w:val="000000" w:themeColor="text1"/>
          <w:sz w:val="32"/>
          <w:szCs w:val="32"/>
          <w14:textFill>
            <w14:solidFill>
              <w14:schemeClr w14:val="tx1"/>
            </w14:solidFill>
          </w14:textFill>
        </w:rPr>
      </w:pPr>
    </w:p>
    <w:p>
      <w:pPr>
        <w:rPr>
          <w:rFonts w:hint="eastAsia" w:ascii="仿宋_GB2312" w:hAnsi="仿宋_GB2312" w:eastAsia="仿宋_GB2312" w:cs="仿宋_GB2312"/>
          <w:color w:val="000000" w:themeColor="text1"/>
          <w:sz w:val="32"/>
          <w:szCs w:val="32"/>
          <w14:textFill>
            <w14:solidFill>
              <w14:schemeClr w14:val="tx1"/>
            </w14:solidFill>
          </w14:textFill>
        </w:rPr>
      </w:pPr>
    </w:p>
    <w:p>
      <w:pPr>
        <w:rPr>
          <w:rFonts w:hint="eastAsia" w:ascii="仿宋_GB2312" w:hAnsi="仿宋_GB2312" w:eastAsia="仿宋_GB2312" w:cs="仿宋_GB2312"/>
          <w:color w:val="000000" w:themeColor="text1"/>
          <w:sz w:val="32"/>
          <w:szCs w:val="32"/>
          <w14:textFill>
            <w14:solidFill>
              <w14:schemeClr w14:val="tx1"/>
            </w14:solidFill>
          </w14:textFill>
        </w:rPr>
      </w:pPr>
    </w:p>
    <w:p>
      <w:pPr>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eastAsia="zh-CN"/>
          <w14:textFill>
            <w14:solidFill>
              <w14:schemeClr w14:val="tx1"/>
            </w14:solidFill>
          </w14:textFill>
        </w:rPr>
        <w:t>附件</w:t>
      </w:r>
    </w:p>
    <w:p>
      <w:pPr>
        <w:keepNext w:val="0"/>
        <w:keepLines w:val="0"/>
        <w:pageBreakBefore w:val="0"/>
        <w:widowControl w:val="0"/>
        <w:kinsoku/>
        <w:wordWrap/>
        <w:overflowPunct/>
        <w:topLinePunct w:val="0"/>
        <w:autoSpaceDE/>
        <w:autoSpaceDN/>
        <w:bidi w:val="0"/>
        <w:adjustRightInd/>
        <w:snapToGrid/>
        <w:spacing w:line="660" w:lineRule="exact"/>
        <w:jc w:val="center"/>
        <w:textAlignment w:val="auto"/>
        <w:rPr>
          <w:rFonts w:hint="eastAsia" w:ascii="方正小标宋简体" w:hAnsi="方正小标宋简体" w:eastAsia="方正小标宋简体" w:cs="方正小标宋简体"/>
          <w:color w:val="000000" w:themeColor="text1"/>
          <w:sz w:val="44"/>
          <w:szCs w:val="44"/>
          <w:lang w:eastAsia="zh-CN"/>
          <w14:textFill>
            <w14:solidFill>
              <w14:schemeClr w14:val="tx1"/>
            </w14:solidFill>
          </w14:textFill>
        </w:rPr>
      </w:pPr>
      <w:r>
        <w:rPr>
          <w:rFonts w:hint="eastAsia" w:ascii="方正小标宋简体" w:hAnsi="方正小标宋简体" w:eastAsia="方正小标宋简体" w:cs="方正小标宋简体"/>
          <w:color w:val="000000" w:themeColor="text1"/>
          <w:sz w:val="44"/>
          <w:szCs w:val="44"/>
          <w:lang w:eastAsia="zh-CN"/>
          <w14:textFill>
            <w14:solidFill>
              <w14:schemeClr w14:val="tx1"/>
            </w14:solidFill>
          </w14:textFill>
        </w:rPr>
        <w:t>北海市城区（城市建成区）普通住宅小区</w:t>
      </w:r>
    </w:p>
    <w:p>
      <w:pPr>
        <w:keepNext w:val="0"/>
        <w:keepLines w:val="0"/>
        <w:pageBreakBefore w:val="0"/>
        <w:widowControl w:val="0"/>
        <w:kinsoku/>
        <w:wordWrap/>
        <w:overflowPunct/>
        <w:topLinePunct w:val="0"/>
        <w:autoSpaceDE/>
        <w:autoSpaceDN/>
        <w:bidi w:val="0"/>
        <w:adjustRightInd/>
        <w:snapToGrid/>
        <w:spacing w:line="660" w:lineRule="exact"/>
        <w:jc w:val="center"/>
        <w:textAlignment w:val="auto"/>
        <w:rPr>
          <w:rFonts w:hint="eastAsia" w:ascii="方正小标宋简体" w:hAnsi="方正小标宋简体" w:eastAsia="方正小标宋简体" w:cs="方正小标宋简体"/>
          <w:color w:val="000000" w:themeColor="text1"/>
          <w:sz w:val="44"/>
          <w:szCs w:val="44"/>
          <w:lang w:eastAsia="zh-CN"/>
          <w14:textFill>
            <w14:solidFill>
              <w14:schemeClr w14:val="tx1"/>
            </w14:solidFill>
          </w14:textFill>
        </w:rPr>
      </w:pPr>
      <w:r>
        <w:rPr>
          <w:rFonts w:hint="eastAsia" w:ascii="方正小标宋简体" w:hAnsi="方正小标宋简体" w:eastAsia="方正小标宋简体" w:cs="方正小标宋简体"/>
          <w:color w:val="000000" w:themeColor="text1"/>
          <w:sz w:val="44"/>
          <w:szCs w:val="44"/>
          <w:lang w:eastAsia="zh-CN"/>
          <w14:textFill>
            <w14:solidFill>
              <w14:schemeClr w14:val="tx1"/>
            </w14:solidFill>
          </w14:textFill>
        </w:rPr>
        <w:t>前期物业服务费收费标准</w:t>
      </w:r>
    </w:p>
    <w:p>
      <w:pPr>
        <w:keepNext w:val="0"/>
        <w:keepLines w:val="0"/>
        <w:pageBreakBefore w:val="0"/>
        <w:widowControl w:val="0"/>
        <w:kinsoku/>
        <w:wordWrap/>
        <w:overflowPunct/>
        <w:topLinePunct w:val="0"/>
        <w:autoSpaceDE/>
        <w:autoSpaceDN/>
        <w:bidi w:val="0"/>
        <w:adjustRightInd/>
        <w:snapToGrid/>
        <w:spacing w:line="660" w:lineRule="exact"/>
        <w:jc w:val="center"/>
        <w:textAlignment w:val="auto"/>
        <w:rPr>
          <w:rFonts w:hint="eastAsia" w:ascii="方正小标宋简体" w:hAnsi="方正小标宋简体" w:eastAsia="方正小标宋简体" w:cs="方正小标宋简体"/>
          <w:color w:val="000000" w:themeColor="text1"/>
          <w:sz w:val="44"/>
          <w:szCs w:val="44"/>
          <w:lang w:eastAsia="zh-CN"/>
          <w14:textFill>
            <w14:solidFill>
              <w14:schemeClr w14:val="tx1"/>
            </w14:solidFill>
          </w14:textFill>
        </w:rPr>
      </w:pPr>
    </w:p>
    <w:p>
      <w:pPr>
        <w:jc w:val="right"/>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eastAsia="zh-CN"/>
          <w14:textFill>
            <w14:solidFill>
              <w14:schemeClr w14:val="tx1"/>
            </w14:solidFill>
          </w14:textFill>
        </w:rPr>
        <w:t>计费单位：元</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/月·平方米</w:t>
      </w:r>
    </w:p>
    <w:tbl>
      <w:tblPr>
        <w:tblStyle w:val="5"/>
        <w:tblW w:w="75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68"/>
        <w:gridCol w:w="38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8" w:hRule="atLeast"/>
          <w:jc w:val="center"/>
        </w:trPr>
        <w:tc>
          <w:tcPr>
            <w:tcW w:w="3768" w:type="dxa"/>
            <w:vAlign w:val="center"/>
          </w:tcPr>
          <w:p>
            <w:pPr>
              <w:jc w:val="center"/>
              <w:rPr>
                <w:rFonts w:hint="eastAsia" w:ascii="仿宋_GB2312" w:hAnsi="仿宋_GB2312" w:eastAsia="仿宋_GB2312" w:cs="仿宋_GB2312"/>
                <w:color w:val="000000" w:themeColor="text1"/>
                <w:sz w:val="32"/>
                <w:szCs w:val="32"/>
                <w:vertAlign w:val="baseli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vertAlign w:val="baseline"/>
                <w:lang w:val="en-US" w:eastAsia="zh-CN"/>
                <w14:textFill>
                  <w14:solidFill>
                    <w14:schemeClr w14:val="tx1"/>
                  </w14:solidFill>
                </w14:textFill>
              </w:rPr>
              <w:t>前期物业服务等级</w:t>
            </w:r>
          </w:p>
        </w:tc>
        <w:tc>
          <w:tcPr>
            <w:tcW w:w="3811" w:type="dxa"/>
            <w:vAlign w:val="center"/>
          </w:tcPr>
          <w:p>
            <w:pPr>
              <w:jc w:val="center"/>
              <w:rPr>
                <w:rFonts w:hint="eastAsia" w:ascii="仿宋_GB2312" w:hAnsi="仿宋_GB2312" w:eastAsia="仿宋_GB2312" w:cs="仿宋_GB2312"/>
                <w:color w:val="000000" w:themeColor="text1"/>
                <w:sz w:val="32"/>
                <w:szCs w:val="32"/>
                <w:vertAlign w:val="baseli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vertAlign w:val="baseline"/>
                <w:lang w:val="en-US" w:eastAsia="zh-CN"/>
                <w14:textFill>
                  <w14:solidFill>
                    <w14:schemeClr w14:val="tx1"/>
                  </w14:solidFill>
                </w14:textFill>
              </w:rPr>
              <w:t>最高限价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8" w:hRule="atLeast"/>
          <w:jc w:val="center"/>
        </w:trPr>
        <w:tc>
          <w:tcPr>
            <w:tcW w:w="3768" w:type="dxa"/>
            <w:vAlign w:val="center"/>
          </w:tcPr>
          <w:p>
            <w:pPr>
              <w:jc w:val="center"/>
              <w:rPr>
                <w:rFonts w:hint="eastAsia" w:ascii="仿宋_GB2312" w:hAnsi="仿宋_GB2312" w:eastAsia="仿宋_GB2312" w:cs="仿宋_GB2312"/>
                <w:color w:val="000000" w:themeColor="text1"/>
                <w:sz w:val="32"/>
                <w:szCs w:val="32"/>
                <w:vertAlign w:val="baseli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vertAlign w:val="baseline"/>
                <w:lang w:val="en-US" w:eastAsia="zh-CN"/>
                <w14:textFill>
                  <w14:solidFill>
                    <w14:schemeClr w14:val="tx1"/>
                  </w14:solidFill>
                </w14:textFill>
              </w:rPr>
              <w:t>一级</w:t>
            </w:r>
          </w:p>
        </w:tc>
        <w:tc>
          <w:tcPr>
            <w:tcW w:w="3811" w:type="dxa"/>
            <w:vAlign w:val="center"/>
          </w:tcPr>
          <w:p>
            <w:pPr>
              <w:jc w:val="center"/>
              <w:rPr>
                <w:rFonts w:hint="default" w:ascii="仿宋_GB2312" w:hAnsi="仿宋_GB2312" w:eastAsia="仿宋_GB2312" w:cs="仿宋_GB2312"/>
                <w:color w:val="000000" w:themeColor="text1"/>
                <w:sz w:val="32"/>
                <w:szCs w:val="32"/>
                <w:vertAlign w:val="baseli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vertAlign w:val="baseline"/>
                <w:lang w:val="en-US" w:eastAsia="zh-CN"/>
                <w14:textFill>
                  <w14:solidFill>
                    <w14:schemeClr w14:val="tx1"/>
                  </w14:solidFill>
                </w14:textFill>
              </w:rPr>
              <w:t>2.20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8" w:hRule="atLeast"/>
          <w:jc w:val="center"/>
        </w:trPr>
        <w:tc>
          <w:tcPr>
            <w:tcW w:w="3768" w:type="dxa"/>
            <w:vAlign w:val="center"/>
          </w:tcPr>
          <w:p>
            <w:pPr>
              <w:jc w:val="center"/>
              <w:rPr>
                <w:rFonts w:hint="eastAsia" w:ascii="仿宋_GB2312" w:hAnsi="仿宋_GB2312" w:eastAsia="仿宋_GB2312" w:cs="仿宋_GB2312"/>
                <w:color w:val="000000" w:themeColor="text1"/>
                <w:sz w:val="32"/>
                <w:szCs w:val="32"/>
                <w:vertAlign w:val="baseli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vertAlign w:val="baseline"/>
                <w:lang w:val="en-US" w:eastAsia="zh-CN"/>
                <w14:textFill>
                  <w14:solidFill>
                    <w14:schemeClr w14:val="tx1"/>
                  </w14:solidFill>
                </w14:textFill>
              </w:rPr>
              <w:t>二级</w:t>
            </w:r>
          </w:p>
        </w:tc>
        <w:tc>
          <w:tcPr>
            <w:tcW w:w="3811" w:type="dxa"/>
            <w:vAlign w:val="center"/>
          </w:tcPr>
          <w:p>
            <w:pPr>
              <w:jc w:val="center"/>
              <w:rPr>
                <w:rFonts w:hint="default" w:ascii="仿宋_GB2312" w:hAnsi="仿宋_GB2312" w:eastAsia="仿宋_GB2312" w:cs="仿宋_GB2312"/>
                <w:color w:val="000000" w:themeColor="text1"/>
                <w:sz w:val="32"/>
                <w:szCs w:val="32"/>
                <w:vertAlign w:val="baseli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vertAlign w:val="baseline"/>
                <w:lang w:val="en-US" w:eastAsia="zh-CN"/>
                <w14:textFill>
                  <w14:solidFill>
                    <w14:schemeClr w14:val="tx1"/>
                  </w14:solidFill>
                </w14:textFill>
              </w:rPr>
              <w:t>1.87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8" w:hRule="atLeast"/>
          <w:jc w:val="center"/>
        </w:trPr>
        <w:tc>
          <w:tcPr>
            <w:tcW w:w="3768" w:type="dxa"/>
            <w:vAlign w:val="center"/>
          </w:tcPr>
          <w:p>
            <w:pPr>
              <w:jc w:val="center"/>
              <w:rPr>
                <w:rFonts w:hint="eastAsia" w:ascii="仿宋_GB2312" w:hAnsi="仿宋_GB2312" w:eastAsia="仿宋_GB2312" w:cs="仿宋_GB2312"/>
                <w:color w:val="000000" w:themeColor="text1"/>
                <w:sz w:val="32"/>
                <w:szCs w:val="32"/>
                <w:vertAlign w:val="baseli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vertAlign w:val="baseline"/>
                <w:lang w:val="en-US" w:eastAsia="zh-CN"/>
                <w14:textFill>
                  <w14:solidFill>
                    <w14:schemeClr w14:val="tx1"/>
                  </w14:solidFill>
                </w14:textFill>
              </w:rPr>
              <w:t>三级</w:t>
            </w:r>
          </w:p>
        </w:tc>
        <w:tc>
          <w:tcPr>
            <w:tcW w:w="3811" w:type="dxa"/>
            <w:vAlign w:val="center"/>
          </w:tcPr>
          <w:p>
            <w:pPr>
              <w:jc w:val="center"/>
              <w:rPr>
                <w:rFonts w:hint="default" w:ascii="仿宋_GB2312" w:hAnsi="仿宋_GB2312" w:eastAsia="仿宋_GB2312" w:cs="仿宋_GB2312"/>
                <w:color w:val="000000" w:themeColor="text1"/>
                <w:sz w:val="32"/>
                <w:szCs w:val="32"/>
                <w:vertAlign w:val="baseli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vertAlign w:val="baseline"/>
                <w:lang w:val="en-US" w:eastAsia="zh-CN"/>
                <w14:textFill>
                  <w14:solidFill>
                    <w14:schemeClr w14:val="tx1"/>
                  </w14:solidFill>
                </w14:textFill>
              </w:rPr>
              <w:t>1.35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8" w:hRule="atLeast"/>
          <w:jc w:val="center"/>
        </w:trPr>
        <w:tc>
          <w:tcPr>
            <w:tcW w:w="3768" w:type="dxa"/>
            <w:vAlign w:val="center"/>
          </w:tcPr>
          <w:p>
            <w:pPr>
              <w:jc w:val="center"/>
              <w:rPr>
                <w:rFonts w:hint="eastAsia" w:ascii="仿宋_GB2312" w:hAnsi="仿宋_GB2312" w:eastAsia="仿宋_GB2312" w:cs="仿宋_GB2312"/>
                <w:color w:val="000000" w:themeColor="text1"/>
                <w:sz w:val="32"/>
                <w:szCs w:val="32"/>
                <w:vertAlign w:val="baseli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vertAlign w:val="baseline"/>
                <w:lang w:val="en-US" w:eastAsia="zh-CN"/>
                <w14:textFill>
                  <w14:solidFill>
                    <w14:schemeClr w14:val="tx1"/>
                  </w14:solidFill>
                </w14:textFill>
              </w:rPr>
              <w:t>四级</w:t>
            </w:r>
          </w:p>
        </w:tc>
        <w:tc>
          <w:tcPr>
            <w:tcW w:w="3811" w:type="dxa"/>
            <w:vAlign w:val="center"/>
          </w:tcPr>
          <w:p>
            <w:pPr>
              <w:jc w:val="center"/>
              <w:rPr>
                <w:rFonts w:hint="default" w:ascii="仿宋_GB2312" w:hAnsi="仿宋_GB2312" w:eastAsia="仿宋_GB2312" w:cs="仿宋_GB2312"/>
                <w:color w:val="000000" w:themeColor="text1"/>
                <w:sz w:val="32"/>
                <w:szCs w:val="32"/>
                <w:vertAlign w:val="baseli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vertAlign w:val="baseline"/>
                <w:lang w:val="en-US" w:eastAsia="zh-CN"/>
                <w14:textFill>
                  <w14:solidFill>
                    <w14:schemeClr w14:val="tx1"/>
                  </w14:solidFill>
                </w14:textFill>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1" w:hRule="atLeast"/>
          <w:jc w:val="center"/>
        </w:trPr>
        <w:tc>
          <w:tcPr>
            <w:tcW w:w="3768" w:type="dxa"/>
            <w:vAlign w:val="center"/>
          </w:tcPr>
          <w:p>
            <w:pPr>
              <w:jc w:val="center"/>
              <w:rPr>
                <w:rFonts w:hint="eastAsia" w:ascii="仿宋_GB2312" w:hAnsi="仿宋_GB2312" w:eastAsia="仿宋_GB2312" w:cs="仿宋_GB2312"/>
                <w:color w:val="000000" w:themeColor="text1"/>
                <w:sz w:val="32"/>
                <w:szCs w:val="32"/>
                <w:vertAlign w:val="baseli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vertAlign w:val="baseline"/>
                <w:lang w:val="en-US" w:eastAsia="zh-CN"/>
                <w14:textFill>
                  <w14:solidFill>
                    <w14:schemeClr w14:val="tx1"/>
                  </w14:solidFill>
                </w14:textFill>
              </w:rPr>
              <w:t>五级</w:t>
            </w:r>
          </w:p>
        </w:tc>
        <w:tc>
          <w:tcPr>
            <w:tcW w:w="3811" w:type="dxa"/>
            <w:vAlign w:val="center"/>
          </w:tcPr>
          <w:p>
            <w:pPr>
              <w:jc w:val="center"/>
              <w:rPr>
                <w:rFonts w:hint="default" w:ascii="仿宋_GB2312" w:hAnsi="仿宋_GB2312" w:eastAsia="仿宋_GB2312" w:cs="仿宋_GB2312"/>
                <w:color w:val="000000" w:themeColor="text1"/>
                <w:sz w:val="32"/>
                <w:szCs w:val="32"/>
                <w:vertAlign w:val="baseli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vertAlign w:val="baseline"/>
                <w:lang w:val="en-US" w:eastAsia="zh-CN"/>
                <w14:textFill>
                  <w14:solidFill>
                    <w14:schemeClr w14:val="tx1"/>
                  </w14:solidFill>
                </w14:textFill>
              </w:rPr>
              <w:t>0.90</w:t>
            </w:r>
          </w:p>
        </w:tc>
      </w:tr>
    </w:tbl>
    <w:p>
      <w:pPr>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p>
    <w:p>
      <w:pPr>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p>
    <w:p>
      <w:pPr>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p>
    <w:p>
      <w:pPr>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p>
    <w:p>
      <w:pPr>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p>
    <w:p>
      <w:pPr>
        <w:numPr>
          <w:ilvl w:val="0"/>
          <w:numId w:val="0"/>
        </w:numPr>
        <w:rPr>
          <w:rFonts w:hint="default" w:ascii="仿宋_GB2312" w:hAnsi="仿宋_GB2312" w:eastAsia="仿宋_GB2312" w:cs="仿宋_GB2312"/>
          <w:color w:val="000000" w:themeColor="text1"/>
          <w:sz w:val="32"/>
          <w:szCs w:val="32"/>
          <w:lang w:val="en-US" w:eastAsia="zh-CN"/>
          <w14:textFill>
            <w14:solidFill>
              <w14:schemeClr w14:val="tx1"/>
            </w14:solidFill>
          </w14:textFill>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F5671C"/>
    <w:multiLevelType w:val="singleLevel"/>
    <w:tmpl w:val="0BF5671C"/>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DD60F58"/>
    <w:rsid w:val="00F03C6C"/>
    <w:rsid w:val="010950E1"/>
    <w:rsid w:val="01965A6E"/>
    <w:rsid w:val="03DE57ED"/>
    <w:rsid w:val="047B3C9D"/>
    <w:rsid w:val="04A741DD"/>
    <w:rsid w:val="050600B9"/>
    <w:rsid w:val="058E3C40"/>
    <w:rsid w:val="05972656"/>
    <w:rsid w:val="05C82EA2"/>
    <w:rsid w:val="061B0816"/>
    <w:rsid w:val="06BE3B9E"/>
    <w:rsid w:val="08122D93"/>
    <w:rsid w:val="0866367C"/>
    <w:rsid w:val="08920CD5"/>
    <w:rsid w:val="09405589"/>
    <w:rsid w:val="0A295EF7"/>
    <w:rsid w:val="0A2A450E"/>
    <w:rsid w:val="0BD51506"/>
    <w:rsid w:val="0C1D196C"/>
    <w:rsid w:val="0C2E0004"/>
    <w:rsid w:val="0CA80056"/>
    <w:rsid w:val="0CDF509A"/>
    <w:rsid w:val="0D3049D2"/>
    <w:rsid w:val="0D76259F"/>
    <w:rsid w:val="0DD503EA"/>
    <w:rsid w:val="0E0F1A7C"/>
    <w:rsid w:val="0EB70FF3"/>
    <w:rsid w:val="0ED24575"/>
    <w:rsid w:val="10C218DB"/>
    <w:rsid w:val="128D1DFE"/>
    <w:rsid w:val="136557D2"/>
    <w:rsid w:val="136D35A7"/>
    <w:rsid w:val="14092338"/>
    <w:rsid w:val="15701CDC"/>
    <w:rsid w:val="15727121"/>
    <w:rsid w:val="163A48A1"/>
    <w:rsid w:val="16C41A19"/>
    <w:rsid w:val="177D69F0"/>
    <w:rsid w:val="189E2B80"/>
    <w:rsid w:val="19134A95"/>
    <w:rsid w:val="193F39C5"/>
    <w:rsid w:val="19B429B4"/>
    <w:rsid w:val="19E371DC"/>
    <w:rsid w:val="19E81F02"/>
    <w:rsid w:val="1A5E71F9"/>
    <w:rsid w:val="1D1F1294"/>
    <w:rsid w:val="1D40035E"/>
    <w:rsid w:val="1DC60B24"/>
    <w:rsid w:val="1E08778C"/>
    <w:rsid w:val="1E4206BC"/>
    <w:rsid w:val="1ED40826"/>
    <w:rsid w:val="1FDF5846"/>
    <w:rsid w:val="20313096"/>
    <w:rsid w:val="209C7C43"/>
    <w:rsid w:val="20C319C0"/>
    <w:rsid w:val="21C214AC"/>
    <w:rsid w:val="220F7C51"/>
    <w:rsid w:val="22F325B1"/>
    <w:rsid w:val="24585471"/>
    <w:rsid w:val="2475346F"/>
    <w:rsid w:val="24BB59A1"/>
    <w:rsid w:val="25CB697E"/>
    <w:rsid w:val="26192670"/>
    <w:rsid w:val="29137BF7"/>
    <w:rsid w:val="2B161DBC"/>
    <w:rsid w:val="2B88693D"/>
    <w:rsid w:val="2BA867F0"/>
    <w:rsid w:val="2CBD6174"/>
    <w:rsid w:val="2D166D5B"/>
    <w:rsid w:val="2DB93318"/>
    <w:rsid w:val="2EB66AAD"/>
    <w:rsid w:val="2F0F5B19"/>
    <w:rsid w:val="2F202321"/>
    <w:rsid w:val="2FDE394B"/>
    <w:rsid w:val="30001FF2"/>
    <w:rsid w:val="30253DA6"/>
    <w:rsid w:val="305F38F0"/>
    <w:rsid w:val="31B051F9"/>
    <w:rsid w:val="328E5495"/>
    <w:rsid w:val="33101A82"/>
    <w:rsid w:val="333C4536"/>
    <w:rsid w:val="333D18E3"/>
    <w:rsid w:val="345423EF"/>
    <w:rsid w:val="34E85267"/>
    <w:rsid w:val="354A4056"/>
    <w:rsid w:val="35894E03"/>
    <w:rsid w:val="369C5FBA"/>
    <w:rsid w:val="36BE0028"/>
    <w:rsid w:val="38377678"/>
    <w:rsid w:val="38592E39"/>
    <w:rsid w:val="38ED446E"/>
    <w:rsid w:val="39D26D0B"/>
    <w:rsid w:val="39E43274"/>
    <w:rsid w:val="3A1816F9"/>
    <w:rsid w:val="3A21460A"/>
    <w:rsid w:val="3BAD52B1"/>
    <w:rsid w:val="3BCF2282"/>
    <w:rsid w:val="3C1B7D51"/>
    <w:rsid w:val="3D022959"/>
    <w:rsid w:val="3E1B7AC4"/>
    <w:rsid w:val="3E4324DC"/>
    <w:rsid w:val="3E501C5E"/>
    <w:rsid w:val="3ED82AC9"/>
    <w:rsid w:val="3F0712E3"/>
    <w:rsid w:val="3FE52C35"/>
    <w:rsid w:val="3FEA7819"/>
    <w:rsid w:val="401B4DC4"/>
    <w:rsid w:val="41962631"/>
    <w:rsid w:val="42526616"/>
    <w:rsid w:val="429205CF"/>
    <w:rsid w:val="42ED6358"/>
    <w:rsid w:val="431A2EC5"/>
    <w:rsid w:val="438F7334"/>
    <w:rsid w:val="44B75D4C"/>
    <w:rsid w:val="44CE4E92"/>
    <w:rsid w:val="453C736F"/>
    <w:rsid w:val="45575665"/>
    <w:rsid w:val="45A37D8C"/>
    <w:rsid w:val="45F00BD2"/>
    <w:rsid w:val="469A2BF8"/>
    <w:rsid w:val="46A6744F"/>
    <w:rsid w:val="47450D5D"/>
    <w:rsid w:val="47462560"/>
    <w:rsid w:val="486C028C"/>
    <w:rsid w:val="490708D7"/>
    <w:rsid w:val="498273BD"/>
    <w:rsid w:val="4A9A4D79"/>
    <w:rsid w:val="4B495251"/>
    <w:rsid w:val="4BA5182E"/>
    <w:rsid w:val="4CE04AD2"/>
    <w:rsid w:val="4CEC7460"/>
    <w:rsid w:val="4CF914CD"/>
    <w:rsid w:val="4D80219F"/>
    <w:rsid w:val="4E245972"/>
    <w:rsid w:val="4EB53CAE"/>
    <w:rsid w:val="4EDF6DC0"/>
    <w:rsid w:val="4F030556"/>
    <w:rsid w:val="4F163ABC"/>
    <w:rsid w:val="50D253A5"/>
    <w:rsid w:val="51773A21"/>
    <w:rsid w:val="540149E6"/>
    <w:rsid w:val="55023E85"/>
    <w:rsid w:val="554D638C"/>
    <w:rsid w:val="558C5F53"/>
    <w:rsid w:val="577A0C6E"/>
    <w:rsid w:val="57CE72D9"/>
    <w:rsid w:val="59524B44"/>
    <w:rsid w:val="5B3D6181"/>
    <w:rsid w:val="5B43010E"/>
    <w:rsid w:val="5B671171"/>
    <w:rsid w:val="5B7D2538"/>
    <w:rsid w:val="5BB17DDA"/>
    <w:rsid w:val="5C99487D"/>
    <w:rsid w:val="5CCC4AC7"/>
    <w:rsid w:val="5CF94F1D"/>
    <w:rsid w:val="5D4231CD"/>
    <w:rsid w:val="5D6C090B"/>
    <w:rsid w:val="5DD60F58"/>
    <w:rsid w:val="5EDD1827"/>
    <w:rsid w:val="5FC16B99"/>
    <w:rsid w:val="5FF33C13"/>
    <w:rsid w:val="6065076E"/>
    <w:rsid w:val="60657725"/>
    <w:rsid w:val="61004A6B"/>
    <w:rsid w:val="61567F67"/>
    <w:rsid w:val="61D95DC3"/>
    <w:rsid w:val="61E668C0"/>
    <w:rsid w:val="62A70DE9"/>
    <w:rsid w:val="62AA7FDD"/>
    <w:rsid w:val="633B43E9"/>
    <w:rsid w:val="641E0EA5"/>
    <w:rsid w:val="64560FA6"/>
    <w:rsid w:val="65697C2D"/>
    <w:rsid w:val="65BC0F9B"/>
    <w:rsid w:val="65EB16EE"/>
    <w:rsid w:val="66B54D9B"/>
    <w:rsid w:val="66E52ECC"/>
    <w:rsid w:val="689722E1"/>
    <w:rsid w:val="68CB1A93"/>
    <w:rsid w:val="68E867F1"/>
    <w:rsid w:val="68FA1925"/>
    <w:rsid w:val="697D409B"/>
    <w:rsid w:val="697F3744"/>
    <w:rsid w:val="6A681B37"/>
    <w:rsid w:val="6A6A5DC2"/>
    <w:rsid w:val="6B4C7E35"/>
    <w:rsid w:val="6B605D69"/>
    <w:rsid w:val="6C213C3C"/>
    <w:rsid w:val="6D08149D"/>
    <w:rsid w:val="6E637812"/>
    <w:rsid w:val="6FC94C28"/>
    <w:rsid w:val="71181806"/>
    <w:rsid w:val="720037AD"/>
    <w:rsid w:val="725C1FF9"/>
    <w:rsid w:val="73E37807"/>
    <w:rsid w:val="74C56682"/>
    <w:rsid w:val="75087504"/>
    <w:rsid w:val="756B23D1"/>
    <w:rsid w:val="75B817F9"/>
    <w:rsid w:val="762038DA"/>
    <w:rsid w:val="763A3A26"/>
    <w:rsid w:val="77635E21"/>
    <w:rsid w:val="77805D6F"/>
    <w:rsid w:val="77BF3C61"/>
    <w:rsid w:val="77D8130A"/>
    <w:rsid w:val="786D69FA"/>
    <w:rsid w:val="78756E89"/>
    <w:rsid w:val="78D2196F"/>
    <w:rsid w:val="79100D3A"/>
    <w:rsid w:val="791B02A8"/>
    <w:rsid w:val="795B5483"/>
    <w:rsid w:val="7A0E6D50"/>
    <w:rsid w:val="7AF71AE3"/>
    <w:rsid w:val="7B637C43"/>
    <w:rsid w:val="7D4D10A1"/>
    <w:rsid w:val="7D7F138D"/>
    <w:rsid w:val="7E3617A6"/>
    <w:rsid w:val="7EDD2548"/>
    <w:rsid w:val="7FA82B1A"/>
    <w:rsid w:val="7FAF1AC3"/>
    <w:rsid w:val="7FC950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2021-11-22T09:12:00Z</dcterms:created>
  <dc:creator>點點</dc:creator>
  <cp:lastModifiedBy>點點</cp:lastModifiedBy>
  <cp:lastPrinted>2022-03-03T03:20:00Z</cp:lastPrinted>
  <dcterms:modified xsi:type="dcterms:W3CDTF">2022-11-25T11:35:04Z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86B4521D46B7400782BBB5767A59382A</vt:lpwstr>
  </property>
</Properties>
</file>