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6242D2">
      <w:pPr>
        <w:jc w:val="both"/>
        <w:rPr>
          <w:rFonts w:hint="eastAsia" w:ascii="宋体" w:hAnsi="宋体" w:eastAsia="宋体" w:cs="宋体"/>
          <w:sz w:val="44"/>
          <w:szCs w:val="44"/>
          <w:lang w:val="en-US" w:eastAsia="zh-CN"/>
        </w:rPr>
      </w:pPr>
      <w:r>
        <w:rPr>
          <w:rFonts w:hint="eastAsia" w:ascii="仿宋" w:hAnsi="仿宋" w:eastAsia="仿宋" w:cs="仿宋"/>
          <w:sz w:val="32"/>
          <w:szCs w:val="32"/>
          <w:lang w:val="en-US" w:eastAsia="zh-CN"/>
        </w:rPr>
        <w:t>附件</w:t>
      </w:r>
    </w:p>
    <w:p w14:paraId="1119A680">
      <w:pPr>
        <w:jc w:val="center"/>
        <w:rPr>
          <w:rFonts w:hint="eastAsia" w:ascii="宋体" w:hAnsi="宋体" w:eastAsia="宋体" w:cs="宋体"/>
          <w:sz w:val="44"/>
          <w:szCs w:val="44"/>
          <w:lang w:val="en-US" w:eastAsia="zh-CN"/>
        </w:rPr>
      </w:pPr>
    </w:p>
    <w:p w14:paraId="103C1D9F">
      <w:pPr>
        <w:jc w:val="center"/>
        <w:rPr>
          <w:rFonts w:hint="eastAsia" w:ascii="宋体" w:hAnsi="宋体" w:eastAsia="宋体" w:cs="宋体"/>
          <w:sz w:val="44"/>
          <w:szCs w:val="44"/>
        </w:rPr>
      </w:pPr>
      <w:r>
        <w:rPr>
          <w:rFonts w:hint="eastAsia" w:ascii="宋体" w:hAnsi="宋体" w:eastAsia="宋体" w:cs="宋体"/>
          <w:sz w:val="44"/>
          <w:szCs w:val="44"/>
          <w:lang w:val="en-US" w:eastAsia="zh-CN"/>
        </w:rPr>
        <w:t>关于</w:t>
      </w:r>
      <w:r>
        <w:rPr>
          <w:rFonts w:hint="eastAsia" w:ascii="宋体" w:hAnsi="宋体" w:eastAsia="宋体" w:cs="宋体"/>
          <w:sz w:val="44"/>
          <w:szCs w:val="44"/>
        </w:rPr>
        <w:t>内部控制评价工作</w:t>
      </w:r>
      <w:r>
        <w:rPr>
          <w:rFonts w:hint="eastAsia" w:ascii="宋体" w:hAnsi="宋体" w:eastAsia="宋体" w:cs="宋体"/>
          <w:sz w:val="44"/>
          <w:szCs w:val="44"/>
          <w:lang w:val="en-US" w:eastAsia="zh-CN"/>
        </w:rPr>
        <w:t>的</w:t>
      </w:r>
      <w:r>
        <w:rPr>
          <w:rFonts w:hint="eastAsia" w:ascii="宋体" w:hAnsi="宋体" w:eastAsia="宋体" w:cs="宋体"/>
          <w:sz w:val="44"/>
          <w:szCs w:val="44"/>
        </w:rPr>
        <w:t>服务需求</w:t>
      </w:r>
    </w:p>
    <w:p w14:paraId="35EE3442">
      <w:pPr>
        <w:pStyle w:val="2"/>
        <w:rPr>
          <w:rFonts w:hint="default"/>
        </w:rPr>
      </w:pPr>
    </w:p>
    <w:p w14:paraId="2D6973BB">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t>一、项目基本信息</w:t>
      </w:r>
    </w:p>
    <w:p w14:paraId="16D967A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lang w:eastAsia="zh-CN"/>
        </w:rPr>
      </w:pPr>
      <w:r>
        <w:rPr>
          <w:rFonts w:hint="eastAsia" w:ascii="楷体" w:hAnsi="楷体" w:eastAsia="楷体" w:cs="楷体"/>
          <w:b/>
          <w:bCs/>
          <w:sz w:val="32"/>
          <w:szCs w:val="32"/>
        </w:rPr>
        <w:t>（一）项目名称</w:t>
      </w:r>
      <w:r>
        <w:rPr>
          <w:rFonts w:hint="eastAsia" w:ascii="楷体" w:hAnsi="楷体" w:eastAsia="楷体" w:cs="楷体"/>
          <w:b/>
          <w:bCs/>
          <w:sz w:val="32"/>
          <w:szCs w:val="32"/>
          <w:lang w:eastAsia="zh-CN"/>
        </w:rPr>
        <w:t>：</w:t>
      </w:r>
    </w:p>
    <w:p w14:paraId="49126E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val="en-US" w:eastAsia="zh-CN"/>
        </w:rPr>
        <w:t>靖西市妇幼保健院</w:t>
      </w:r>
      <w:r>
        <w:rPr>
          <w:rFonts w:hint="eastAsia" w:ascii="方正仿宋_GB2312" w:hAnsi="方正仿宋_GB2312" w:eastAsia="方正仿宋_GB2312" w:cs="方正仿宋_GB2312"/>
          <w:sz w:val="32"/>
          <w:szCs w:val="32"/>
        </w:rPr>
        <w:t>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rPr>
        <w:t>年内部控制评价工作</w:t>
      </w:r>
      <w:r>
        <w:rPr>
          <w:rFonts w:hint="eastAsia" w:ascii="方正仿宋_GB2312" w:hAnsi="方正仿宋_GB2312" w:eastAsia="方正仿宋_GB2312" w:cs="方正仿宋_GB2312"/>
          <w:sz w:val="32"/>
          <w:szCs w:val="32"/>
          <w:lang w:eastAsia="zh-CN"/>
        </w:rPr>
        <w:t>服务项目</w:t>
      </w:r>
    </w:p>
    <w:p w14:paraId="3178FB2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（二）项目背景</w:t>
      </w:r>
    </w:p>
    <w:p w14:paraId="1402DC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eastAsia" w:ascii="仿宋" w:hAnsi="仿宋" w:eastAsia="仿宋" w:cs="仿宋"/>
          <w:sz w:val="32"/>
          <w:szCs w:val="32"/>
        </w:rPr>
        <w:t>按照《公立医院内部控制管理办法》、《自治区卫生健康委关于印发《广西壮族自治区公立医院内部控制评价管理办法（试行）》的通知》等文件</w:t>
      </w:r>
      <w:r>
        <w:rPr>
          <w:rFonts w:hint="eastAsia" w:ascii="仿宋" w:hAnsi="仿宋" w:eastAsia="仿宋" w:cs="仿宋"/>
          <w:sz w:val="32"/>
          <w:szCs w:val="32"/>
          <w:lang w:eastAsia="zh-CN"/>
        </w:rPr>
        <w:t>，要求</w:t>
      </w:r>
      <w:r>
        <w:rPr>
          <w:rFonts w:hint="eastAsia" w:ascii="仿宋" w:hAnsi="仿宋" w:eastAsia="仿宋" w:cs="仿宋"/>
          <w:sz w:val="32"/>
          <w:szCs w:val="32"/>
        </w:rPr>
        <w:t>公立医院</w:t>
      </w:r>
      <w:r>
        <w:rPr>
          <w:rFonts w:hint="eastAsia" w:ascii="仿宋" w:hAnsi="仿宋" w:eastAsia="仿宋" w:cs="仿宋"/>
          <w:sz w:val="32"/>
          <w:szCs w:val="32"/>
          <w:lang w:eastAsia="zh-CN"/>
        </w:rPr>
        <w:t>每年</w:t>
      </w:r>
      <w:r>
        <w:rPr>
          <w:rFonts w:hint="eastAsia" w:ascii="仿宋" w:hAnsi="仿宋" w:eastAsia="仿宋" w:cs="仿宋"/>
          <w:sz w:val="32"/>
          <w:szCs w:val="32"/>
          <w:lang w:val="en-US" w:eastAsia="zh-CN"/>
        </w:rPr>
        <w:t>7月31日前完成上年度的内控评价工作。</w:t>
      </w:r>
      <w:r>
        <w:rPr>
          <w:rFonts w:hint="eastAsia" w:ascii="仿宋" w:hAnsi="仿宋" w:eastAsia="仿宋" w:cs="仿宋"/>
          <w:sz w:val="32"/>
          <w:szCs w:val="32"/>
        </w:rPr>
        <w:t>为进一步</w:t>
      </w:r>
      <w:r>
        <w:rPr>
          <w:rFonts w:hint="eastAsia" w:ascii="仿宋" w:hAnsi="仿宋" w:eastAsia="仿宋" w:cs="仿宋"/>
          <w:sz w:val="32"/>
          <w:szCs w:val="32"/>
          <w:lang w:eastAsia="zh-CN"/>
        </w:rPr>
        <w:t>规范我院的</w:t>
      </w:r>
      <w:r>
        <w:rPr>
          <w:rFonts w:hint="eastAsia" w:ascii="仿宋" w:hAnsi="仿宋" w:eastAsia="仿宋" w:cs="仿宋"/>
          <w:sz w:val="32"/>
          <w:szCs w:val="32"/>
        </w:rPr>
        <w:t>内部控制</w:t>
      </w:r>
      <w:r>
        <w:rPr>
          <w:rFonts w:hint="eastAsia" w:ascii="仿宋" w:hAnsi="仿宋" w:eastAsia="仿宋" w:cs="仿宋"/>
          <w:sz w:val="32"/>
          <w:szCs w:val="32"/>
          <w:lang w:eastAsia="zh-CN"/>
        </w:rPr>
        <w:t>评价体系及更好的完成</w:t>
      </w:r>
      <w:r>
        <w:rPr>
          <w:rFonts w:hint="eastAsia" w:ascii="仿宋" w:hAnsi="仿宋" w:eastAsia="仿宋" w:cs="仿宋"/>
          <w:sz w:val="32"/>
          <w:szCs w:val="32"/>
          <w:lang w:val="en-US" w:eastAsia="zh-CN"/>
        </w:rPr>
        <w:t>2026年内部控制评价工作，</w:t>
      </w:r>
      <w:r>
        <w:rPr>
          <w:rFonts w:hint="eastAsia" w:ascii="仿宋" w:hAnsi="仿宋" w:eastAsia="仿宋" w:cs="仿宋"/>
          <w:sz w:val="32"/>
          <w:szCs w:val="32"/>
          <w:lang w:eastAsia="zh-CN"/>
        </w:rPr>
        <w:t>现拟聘</w:t>
      </w:r>
      <w:r>
        <w:rPr>
          <w:rFonts w:hint="eastAsia" w:ascii="仿宋" w:hAnsi="仿宋" w:eastAsia="仿宋" w:cs="仿宋"/>
          <w:sz w:val="32"/>
          <w:szCs w:val="32"/>
        </w:rPr>
        <w:t>请第三方机构</w:t>
      </w:r>
      <w:r>
        <w:rPr>
          <w:rFonts w:hint="eastAsia" w:ascii="仿宋" w:hAnsi="仿宋" w:eastAsia="仿宋" w:cs="仿宋"/>
          <w:sz w:val="32"/>
          <w:szCs w:val="32"/>
          <w:lang w:eastAsia="zh-CN"/>
        </w:rPr>
        <w:t>到院开展</w:t>
      </w:r>
      <w:r>
        <w:rPr>
          <w:rFonts w:hint="eastAsia" w:ascii="仿宋" w:hAnsi="仿宋" w:eastAsia="仿宋" w:cs="仿宋"/>
          <w:sz w:val="32"/>
          <w:szCs w:val="32"/>
          <w:lang w:val="en-US" w:eastAsia="zh-CN"/>
        </w:rPr>
        <w:t>2025年</w:t>
      </w:r>
      <w:r>
        <w:rPr>
          <w:rFonts w:hint="eastAsia" w:ascii="仿宋" w:hAnsi="仿宋" w:eastAsia="仿宋" w:cs="仿宋"/>
          <w:sz w:val="32"/>
          <w:szCs w:val="32"/>
        </w:rPr>
        <w:t>医院内部控制评价工作</w:t>
      </w:r>
      <w:r>
        <w:rPr>
          <w:rFonts w:hint="eastAsia" w:ascii="仿宋" w:hAnsi="仿宋" w:eastAsia="仿宋" w:cs="仿宋"/>
          <w:sz w:val="32"/>
          <w:szCs w:val="32"/>
          <w:lang w:eastAsia="zh-CN"/>
        </w:rPr>
        <w:t>服务。</w:t>
      </w:r>
      <w:bookmarkStart w:id="1" w:name="_GoBack"/>
      <w:bookmarkEnd w:id="1"/>
    </w:p>
    <w:p w14:paraId="5537D9E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（三）服务周期</w:t>
      </w:r>
    </w:p>
    <w:p w14:paraId="6046D80D">
      <w:pPr>
        <w:keepNext w:val="0"/>
        <w:keepLines w:val="0"/>
        <w:pageBreakBefore w:val="0"/>
        <w:widowControl w:val="0"/>
        <w:kinsoku/>
        <w:wordWrap/>
        <w:overflowPunct/>
        <w:topLinePunct w:val="0"/>
        <w:autoSpaceDE/>
        <w:autoSpaceDN/>
        <w:bidi w:val="0"/>
        <w:adjustRightInd/>
        <w:snapToGrid/>
        <w:spacing w:before="120" w:after="120" w:line="560" w:lineRule="exact"/>
        <w:ind w:left="0" w:firstLine="640" w:firstLineChars="200"/>
        <w:jc w:val="left"/>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Times New Roman" w:hAnsi="Times New Roman" w:eastAsia="仿宋_GB2312" w:cs="Times New Roman"/>
          <w:sz w:val="32"/>
          <w:szCs w:val="32"/>
          <w:lang w:eastAsia="zh-CN"/>
        </w:rPr>
        <w:t>服务</w:t>
      </w:r>
      <w:r>
        <w:rPr>
          <w:rFonts w:hint="default" w:ascii="Times New Roman" w:hAnsi="Times New Roman" w:eastAsia="仿宋_GB2312" w:cs="Times New Roman"/>
          <w:sz w:val="32"/>
          <w:szCs w:val="32"/>
        </w:rPr>
        <w:t>周期：自合同签</w:t>
      </w:r>
      <w:r>
        <w:rPr>
          <w:rFonts w:hint="eastAsia" w:ascii="仿宋" w:hAnsi="仿宋" w:eastAsia="仿宋" w:cs="仿宋"/>
          <w:sz w:val="32"/>
          <w:szCs w:val="32"/>
        </w:rPr>
        <w:t>署之日起</w:t>
      </w:r>
      <w:r>
        <w:rPr>
          <w:rFonts w:hint="eastAsia" w:ascii="仿宋" w:hAnsi="仿宋" w:eastAsia="仿宋" w:cs="仿宋"/>
          <w:sz w:val="32"/>
          <w:szCs w:val="32"/>
          <w:lang w:val="en-US" w:eastAsia="zh-CN"/>
        </w:rPr>
        <w:t>三个月内</w:t>
      </w:r>
      <w:r>
        <w:rPr>
          <w:rFonts w:hint="eastAsia" w:ascii="仿宋" w:hAnsi="仿宋" w:eastAsia="仿宋" w:cs="仿宋"/>
          <w:sz w:val="32"/>
          <w:szCs w:val="32"/>
        </w:rPr>
        <w:t>，乙方交付全部评价成果且甲方验收合格、款项结清</w:t>
      </w:r>
      <w:r>
        <w:rPr>
          <w:rFonts w:hint="eastAsia" w:ascii="仿宋" w:hAnsi="仿宋" w:eastAsia="仿宋" w:cs="仿宋"/>
          <w:sz w:val="32"/>
          <w:szCs w:val="32"/>
          <w:lang w:eastAsia="zh-CN"/>
        </w:rPr>
        <w:t>，</w:t>
      </w:r>
      <w:r>
        <w:rPr>
          <w:rFonts w:hint="eastAsia" w:ascii="仿宋" w:hAnsi="仿宋" w:eastAsia="仿宋" w:cs="仿宋"/>
          <w:sz w:val="32"/>
          <w:szCs w:val="32"/>
        </w:rPr>
        <w:t>双方履行完毕约定的所有义务后终止。</w:t>
      </w:r>
    </w:p>
    <w:p w14:paraId="5F06E890">
      <w:pPr>
        <w:keepNext w:val="0"/>
        <w:keepLines w:val="0"/>
        <w:pageBreakBefore w:val="0"/>
        <w:widowControl w:val="0"/>
        <w:numPr>
          <w:ilvl w:val="0"/>
          <w:numId w:val="1"/>
        </w:numPr>
        <w:kinsoku/>
        <w:wordWrap/>
        <w:overflowPunct/>
        <w:topLinePunct w:val="0"/>
        <w:autoSpaceDE/>
        <w:autoSpaceDN/>
        <w:bidi w:val="0"/>
        <w:adjustRightInd/>
        <w:snapToGrid/>
        <w:spacing w:line="560" w:lineRule="exact"/>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服务范围</w:t>
      </w:r>
    </w:p>
    <w:p w14:paraId="0E9321F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321" w:firstLineChars="100"/>
        <w:textAlignment w:val="auto"/>
        <w:rPr>
          <w:rFonts w:hint="eastAsia" w:ascii="楷体" w:hAnsi="楷体" w:eastAsia="楷体" w:cs="楷体"/>
          <w:b/>
          <w:bCs w:val="0"/>
          <w:sz w:val="32"/>
          <w:szCs w:val="32"/>
        </w:rPr>
      </w:pPr>
      <w:r>
        <w:rPr>
          <w:rFonts w:hint="eastAsia" w:ascii="楷体" w:hAnsi="楷体" w:eastAsia="楷体" w:cs="楷体"/>
          <w:b/>
          <w:bCs w:val="0"/>
          <w:sz w:val="32"/>
          <w:szCs w:val="32"/>
          <w:lang w:eastAsia="zh-CN"/>
        </w:rPr>
        <w:t>（一）</w:t>
      </w:r>
      <w:r>
        <w:rPr>
          <w:rFonts w:hint="eastAsia" w:ascii="楷体" w:hAnsi="楷体" w:eastAsia="楷体" w:cs="楷体"/>
          <w:b/>
          <w:bCs w:val="0"/>
          <w:sz w:val="32"/>
          <w:szCs w:val="32"/>
        </w:rPr>
        <w:t>评价范围</w:t>
      </w:r>
    </w:p>
    <w:p w14:paraId="52AC2491">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firstLine="640" w:firstLineChars="200"/>
        <w:jc w:val="left"/>
        <w:textAlignment w:val="auto"/>
        <w:rPr>
          <w:rFonts w:hint="eastAsia" w:ascii="仿宋" w:hAnsi="仿宋" w:eastAsia="仿宋" w:cs="仿宋"/>
          <w:b w:val="0"/>
          <w:bCs/>
          <w:color w:val="auto"/>
          <w:sz w:val="32"/>
          <w:szCs w:val="32"/>
        </w:rPr>
      </w:pPr>
      <w:r>
        <w:rPr>
          <w:rFonts w:hint="eastAsia" w:ascii="仿宋" w:hAnsi="仿宋" w:eastAsia="仿宋" w:cs="仿宋"/>
          <w:b w:val="0"/>
          <w:bCs/>
          <w:color w:val="auto"/>
          <w:sz w:val="32"/>
          <w:szCs w:val="32"/>
          <w:lang w:val="en-US" w:eastAsia="zh-CN"/>
        </w:rPr>
        <w:t>1.</w:t>
      </w:r>
      <w:r>
        <w:rPr>
          <w:rFonts w:hint="eastAsia" w:ascii="仿宋" w:hAnsi="仿宋" w:eastAsia="仿宋" w:cs="仿宋"/>
          <w:b w:val="0"/>
          <w:bCs/>
          <w:color w:val="auto"/>
          <w:sz w:val="32"/>
          <w:szCs w:val="32"/>
        </w:rPr>
        <w:t>单位层面内部控制</w:t>
      </w:r>
    </w:p>
    <w:p w14:paraId="6631FD14">
      <w:pPr>
        <w:keepNext w:val="0"/>
        <w:keepLines w:val="0"/>
        <w:pageBreakBefore w:val="0"/>
        <w:widowControl w:val="0"/>
        <w:kinsoku/>
        <w:wordWrap/>
        <w:overflowPunct/>
        <w:topLinePunct w:val="0"/>
        <w:autoSpaceDE/>
        <w:autoSpaceDN/>
        <w:bidi w:val="0"/>
        <w:adjustRightInd/>
        <w:snapToGrid/>
        <w:spacing w:before="120" w:after="120" w:line="560" w:lineRule="exact"/>
        <w:ind w:left="0" w:firstLine="640" w:firstLineChars="200"/>
        <w:jc w:val="left"/>
        <w:textAlignment w:val="auto"/>
        <w:rPr>
          <w:rFonts w:hint="eastAsia" w:ascii="仿宋" w:hAnsi="仿宋" w:eastAsia="仿宋" w:cs="仿宋"/>
          <w:b w:val="0"/>
          <w:bCs/>
          <w:color w:val="auto"/>
          <w:sz w:val="32"/>
          <w:szCs w:val="32"/>
        </w:rPr>
      </w:pPr>
      <w:r>
        <w:rPr>
          <w:rFonts w:hint="eastAsia" w:ascii="仿宋" w:hAnsi="仿宋" w:eastAsia="仿宋" w:cs="仿宋"/>
          <w:b w:val="0"/>
          <w:bCs/>
          <w:color w:val="auto"/>
          <w:sz w:val="32"/>
          <w:szCs w:val="32"/>
        </w:rPr>
        <w:t>内部控制组织架构与议事决策、内控工作</w:t>
      </w:r>
      <w:r>
        <w:rPr>
          <w:rFonts w:hint="eastAsia" w:ascii="仿宋" w:hAnsi="仿宋" w:eastAsia="仿宋" w:cs="仿宋"/>
          <w:b w:val="0"/>
          <w:bCs/>
          <w:color w:val="auto"/>
          <w:sz w:val="32"/>
          <w:szCs w:val="32"/>
          <w:lang w:eastAsia="zh-CN"/>
        </w:rPr>
        <w:t>运行</w:t>
      </w:r>
      <w:r>
        <w:rPr>
          <w:rFonts w:hint="eastAsia" w:ascii="仿宋" w:hAnsi="仿宋" w:eastAsia="仿宋" w:cs="仿宋"/>
          <w:b w:val="0"/>
          <w:bCs/>
          <w:color w:val="auto"/>
          <w:sz w:val="32"/>
          <w:szCs w:val="32"/>
        </w:rPr>
        <w:t>机制、风险评估机制、关键岗位</w:t>
      </w:r>
      <w:r>
        <w:rPr>
          <w:rFonts w:hint="eastAsia" w:ascii="仿宋" w:hAnsi="仿宋" w:eastAsia="仿宋" w:cs="仿宋"/>
          <w:b w:val="0"/>
          <w:bCs/>
          <w:color w:val="auto"/>
          <w:sz w:val="32"/>
          <w:szCs w:val="32"/>
          <w:lang w:eastAsia="zh-CN"/>
        </w:rPr>
        <w:t>与人员</w:t>
      </w:r>
      <w:r>
        <w:rPr>
          <w:rFonts w:hint="eastAsia" w:ascii="仿宋" w:hAnsi="仿宋" w:eastAsia="仿宋" w:cs="仿宋"/>
          <w:b w:val="0"/>
          <w:bCs/>
          <w:color w:val="auto"/>
          <w:sz w:val="32"/>
          <w:szCs w:val="32"/>
        </w:rPr>
        <w:t>、会计及信息系统、信息系统管控、财务与业务融合、内控监督与考核、廉政风险防控等。</w:t>
      </w:r>
    </w:p>
    <w:p w14:paraId="461748BD">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firstLine="640"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2.</w:t>
      </w:r>
      <w:r>
        <w:rPr>
          <w:rFonts w:hint="eastAsia" w:ascii="仿宋" w:hAnsi="仿宋" w:eastAsia="仿宋" w:cs="仿宋"/>
          <w:b w:val="0"/>
          <w:bCs/>
          <w:sz w:val="32"/>
          <w:szCs w:val="32"/>
        </w:rPr>
        <w:t>业务层面内部控制</w:t>
      </w:r>
    </w:p>
    <w:p w14:paraId="4D571825">
      <w:pPr>
        <w:keepNext w:val="0"/>
        <w:keepLines w:val="0"/>
        <w:pageBreakBefore w:val="0"/>
        <w:widowControl w:val="0"/>
        <w:kinsoku/>
        <w:wordWrap/>
        <w:overflowPunct/>
        <w:topLinePunct w:val="0"/>
        <w:autoSpaceDE/>
        <w:autoSpaceDN/>
        <w:bidi w:val="0"/>
        <w:adjustRightInd/>
        <w:snapToGrid/>
        <w:spacing w:before="120" w:after="120" w:line="560" w:lineRule="exact"/>
        <w:ind w:left="0" w:firstLine="640" w:firstLineChars="200"/>
        <w:jc w:val="left"/>
        <w:textAlignment w:val="auto"/>
        <w:rPr>
          <w:rFonts w:hint="eastAsia" w:ascii="仿宋" w:hAnsi="仿宋" w:eastAsia="仿宋" w:cs="仿宋"/>
          <w:b w:val="0"/>
          <w:bCs/>
          <w:sz w:val="32"/>
          <w:szCs w:val="32"/>
          <w:lang w:eastAsia="zh-CN"/>
        </w:rPr>
      </w:pPr>
      <w:r>
        <w:rPr>
          <w:rFonts w:hint="eastAsia" w:ascii="仿宋" w:hAnsi="仿宋" w:eastAsia="仿宋" w:cs="仿宋"/>
          <w:b w:val="0"/>
          <w:bCs/>
          <w:sz w:val="32"/>
          <w:szCs w:val="32"/>
        </w:rPr>
        <w:t>预算管理</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rPr>
        <w:t>收支管理</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rPr>
        <w:t>政府采购</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rPr>
        <w:t>资产管理</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rPr>
        <w:t>建设项目</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rPr>
        <w:t>合同管理</w:t>
      </w:r>
      <w:r>
        <w:rPr>
          <w:rFonts w:hint="eastAsia" w:ascii="仿宋" w:hAnsi="仿宋" w:eastAsia="仿宋" w:cs="仿宋"/>
          <w:b w:val="0"/>
          <w:bCs/>
          <w:sz w:val="32"/>
          <w:szCs w:val="32"/>
          <w:lang w:eastAsia="zh-CN"/>
        </w:rPr>
        <w:t>、</w:t>
      </w:r>
      <w:r>
        <w:rPr>
          <w:rFonts w:hint="eastAsia" w:ascii="仿宋" w:hAnsi="仿宋" w:eastAsia="仿宋" w:cs="仿宋"/>
          <w:b w:val="0"/>
          <w:bCs/>
          <w:sz w:val="32"/>
          <w:szCs w:val="32"/>
        </w:rPr>
        <w:t>医疗业务</w:t>
      </w:r>
      <w:r>
        <w:rPr>
          <w:rFonts w:hint="eastAsia" w:ascii="仿宋" w:hAnsi="仿宋" w:eastAsia="仿宋" w:cs="仿宋"/>
          <w:b w:val="0"/>
          <w:bCs/>
          <w:sz w:val="32"/>
          <w:szCs w:val="32"/>
          <w:lang w:eastAsia="zh-CN"/>
        </w:rPr>
        <w:t>、信息化建设等。</w:t>
      </w:r>
    </w:p>
    <w:p w14:paraId="622B0C22">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3.内部控制关键业务流程测试、流程执行情况</w:t>
      </w:r>
    </w:p>
    <w:p w14:paraId="1529F058">
      <w:pPr>
        <w:keepNext w:val="0"/>
        <w:keepLines w:val="0"/>
        <w:pageBreakBefore w:val="0"/>
        <w:widowControl w:val="0"/>
        <w:kinsoku/>
        <w:wordWrap/>
        <w:overflowPunct/>
        <w:topLinePunct w:val="0"/>
        <w:autoSpaceDE/>
        <w:autoSpaceDN/>
        <w:bidi w:val="0"/>
        <w:adjustRightInd/>
        <w:snapToGrid/>
        <w:spacing w:before="120" w:after="120" w:line="560" w:lineRule="exact"/>
        <w:ind w:left="0"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预算管理、收入管理、支出管理、采购管理、资产管理、</w:t>
      </w:r>
    </w:p>
    <w:p w14:paraId="444E7129">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建设项目管理、合同管理等。</w:t>
      </w:r>
    </w:p>
    <w:p w14:paraId="06FF73FC">
      <w:pPr>
        <w:keepNext w:val="0"/>
        <w:keepLines w:val="0"/>
        <w:pageBreakBefore w:val="0"/>
        <w:widowControl w:val="0"/>
        <w:numPr>
          <w:ilvl w:val="0"/>
          <w:numId w:val="0"/>
        </w:numPr>
        <w:kinsoku/>
        <w:wordWrap/>
        <w:overflowPunct/>
        <w:topLinePunct w:val="0"/>
        <w:autoSpaceDE/>
        <w:autoSpaceDN/>
        <w:bidi w:val="0"/>
        <w:adjustRightInd/>
        <w:snapToGrid/>
        <w:spacing w:before="120" w:after="120" w:line="480" w:lineRule="exact"/>
        <w:jc w:val="left"/>
        <w:textAlignment w:val="auto"/>
        <w:rPr>
          <w:rFonts w:hint="eastAsia" w:ascii="楷体" w:hAnsi="楷体" w:eastAsia="楷体" w:cs="楷体"/>
          <w:b/>
          <w:bCs/>
          <w:color w:val="000000" w:themeColor="text1"/>
          <w:sz w:val="32"/>
          <w:szCs w:val="32"/>
          <w14:textFill>
            <w14:solidFill>
              <w14:schemeClr w14:val="tx1"/>
            </w14:solidFill>
          </w14:textFill>
        </w:rPr>
      </w:pPr>
      <w:bookmarkStart w:id="0" w:name="heading_8"/>
      <w:r>
        <w:rPr>
          <w:rFonts w:hint="eastAsia" w:ascii="楷体" w:hAnsi="楷体" w:eastAsia="楷体" w:cs="楷体"/>
          <w:b/>
          <w:bCs/>
          <w:sz w:val="32"/>
          <w:szCs w:val="32"/>
        </w:rPr>
        <w:t>（</w:t>
      </w:r>
      <w:r>
        <w:rPr>
          <w:rFonts w:hint="eastAsia" w:ascii="楷体" w:hAnsi="楷体" w:eastAsia="楷体" w:cs="楷体"/>
          <w:b/>
          <w:bCs/>
          <w:color w:val="000000" w:themeColor="text1"/>
          <w:sz w:val="32"/>
          <w:szCs w:val="32"/>
          <w:lang w:eastAsia="zh-CN"/>
          <w14:textFill>
            <w14:solidFill>
              <w14:schemeClr w14:val="tx1"/>
            </w14:solidFill>
          </w14:textFill>
        </w:rPr>
        <w:t>二</w:t>
      </w:r>
      <w:r>
        <w:rPr>
          <w:rFonts w:hint="eastAsia" w:ascii="楷体" w:hAnsi="楷体" w:eastAsia="楷体" w:cs="楷体"/>
          <w:b/>
          <w:bCs/>
          <w:color w:val="000000" w:themeColor="text1"/>
          <w:sz w:val="32"/>
          <w:szCs w:val="32"/>
          <w14:textFill>
            <w14:solidFill>
              <w14:schemeClr w14:val="tx1"/>
            </w14:solidFill>
          </w14:textFill>
        </w:rPr>
        <w:t>）</w:t>
      </w:r>
      <w:r>
        <w:rPr>
          <w:rFonts w:hint="eastAsia" w:ascii="楷体" w:hAnsi="楷体" w:eastAsia="楷体" w:cs="楷体"/>
          <w:b/>
          <w:bCs/>
          <w:color w:val="000000" w:themeColor="text1"/>
          <w:sz w:val="32"/>
          <w:szCs w:val="32"/>
          <w:lang w:eastAsia="zh-CN"/>
          <w14:textFill>
            <w14:solidFill>
              <w14:schemeClr w14:val="tx1"/>
            </w14:solidFill>
          </w14:textFill>
        </w:rPr>
        <w:t>服务</w:t>
      </w:r>
      <w:r>
        <w:rPr>
          <w:rFonts w:hint="eastAsia" w:ascii="楷体" w:hAnsi="楷体" w:eastAsia="楷体" w:cs="楷体"/>
          <w:b/>
          <w:bCs/>
          <w:color w:val="000000" w:themeColor="text1"/>
          <w:sz w:val="32"/>
          <w:szCs w:val="32"/>
          <w14:textFill>
            <w14:solidFill>
              <w14:schemeClr w14:val="tx1"/>
            </w14:solidFill>
          </w14:textFill>
        </w:rPr>
        <w:t>内容</w:t>
      </w:r>
      <w:bookmarkEnd w:id="0"/>
    </w:p>
    <w:tbl>
      <w:tblPr>
        <w:tblStyle w:val="9"/>
        <w:tblW w:w="4996" w:type="pct"/>
        <w:tblInd w:w="0" w:type="dxa"/>
        <w:tblLayout w:type="fixed"/>
        <w:tblCellMar>
          <w:top w:w="0" w:type="dxa"/>
          <w:left w:w="108" w:type="dxa"/>
          <w:bottom w:w="0" w:type="dxa"/>
          <w:right w:w="108" w:type="dxa"/>
        </w:tblCellMar>
      </w:tblPr>
      <w:tblGrid>
        <w:gridCol w:w="806"/>
        <w:gridCol w:w="1491"/>
        <w:gridCol w:w="5157"/>
        <w:gridCol w:w="1600"/>
      </w:tblGrid>
      <w:tr w14:paraId="57E24253">
        <w:tblPrEx>
          <w:tblCellMar>
            <w:top w:w="0" w:type="dxa"/>
            <w:left w:w="108" w:type="dxa"/>
            <w:bottom w:w="0" w:type="dxa"/>
            <w:right w:w="108" w:type="dxa"/>
          </w:tblCellMar>
        </w:tblPrEx>
        <w:trPr>
          <w:trHeight w:val="280" w:hRule="atLeast"/>
        </w:trPr>
        <w:tc>
          <w:tcPr>
            <w:tcW w:w="445" w:type="pct"/>
            <w:tcBorders>
              <w:top w:val="single" w:color="000000" w:sz="4" w:space="0"/>
              <w:left w:val="single" w:color="000000" w:sz="4" w:space="0"/>
              <w:bottom w:val="single" w:color="000000" w:sz="4" w:space="0"/>
              <w:right w:val="single" w:color="000000" w:sz="4" w:space="0"/>
            </w:tcBorders>
            <w:noWrap/>
            <w:vAlign w:val="center"/>
          </w:tcPr>
          <w:p w14:paraId="68BBE0B2">
            <w:pPr>
              <w:keepNext w:val="0"/>
              <w:keepLines w:val="0"/>
              <w:pageBreakBefore w:val="0"/>
              <w:widowControl/>
              <w:kinsoku/>
              <w:wordWrap/>
              <w:overflowPunct/>
              <w:topLinePunct w:val="0"/>
              <w:bidi w:val="0"/>
              <w:spacing w:line="240" w:lineRule="auto"/>
              <w:jc w:val="center"/>
              <w:textAlignment w:val="center"/>
              <w:rPr>
                <w:rFonts w:hint="eastAsia" w:ascii="仿宋_GB2312" w:hAnsi="仿宋_GB2312" w:eastAsia="仿宋_GB2312" w:cs="仿宋_GB2312"/>
                <w:b/>
                <w:bCs/>
                <w:szCs w:val="21"/>
              </w:rPr>
            </w:pPr>
            <w:r>
              <w:rPr>
                <w:rFonts w:hint="eastAsia" w:ascii="仿宋_GB2312" w:hAnsi="仿宋_GB2312" w:eastAsia="仿宋_GB2312" w:cs="仿宋_GB2312"/>
                <w:b/>
                <w:bCs/>
                <w:kern w:val="0"/>
                <w:szCs w:val="21"/>
                <w:lang w:bidi="ar"/>
              </w:rPr>
              <w:t>序号</w:t>
            </w:r>
          </w:p>
        </w:tc>
        <w:tc>
          <w:tcPr>
            <w:tcW w:w="823" w:type="pct"/>
            <w:tcBorders>
              <w:top w:val="single" w:color="000000" w:sz="4" w:space="0"/>
              <w:left w:val="single" w:color="000000" w:sz="4" w:space="0"/>
              <w:bottom w:val="single" w:color="auto" w:sz="4" w:space="0"/>
              <w:right w:val="single" w:color="000000" w:sz="4" w:space="0"/>
            </w:tcBorders>
            <w:noWrap/>
            <w:vAlign w:val="center"/>
          </w:tcPr>
          <w:p w14:paraId="7F2DFA24">
            <w:pPr>
              <w:keepNext w:val="0"/>
              <w:keepLines w:val="0"/>
              <w:pageBreakBefore w:val="0"/>
              <w:widowControl/>
              <w:kinsoku/>
              <w:wordWrap/>
              <w:overflowPunct/>
              <w:topLinePunct w:val="0"/>
              <w:bidi w:val="0"/>
              <w:spacing w:line="240" w:lineRule="auto"/>
              <w:jc w:val="center"/>
              <w:textAlignment w:val="center"/>
              <w:rPr>
                <w:rFonts w:hint="eastAsia" w:ascii="仿宋_GB2312" w:hAnsi="仿宋_GB2312" w:eastAsia="仿宋_GB2312" w:cs="仿宋_GB2312"/>
                <w:b/>
                <w:bCs/>
                <w:szCs w:val="21"/>
              </w:rPr>
            </w:pPr>
            <w:r>
              <w:rPr>
                <w:rFonts w:hint="eastAsia" w:ascii="仿宋_GB2312" w:hAnsi="仿宋_GB2312" w:eastAsia="仿宋_GB2312" w:cs="仿宋_GB2312"/>
                <w:b/>
                <w:bCs/>
                <w:kern w:val="0"/>
                <w:szCs w:val="21"/>
                <w:lang w:bidi="ar"/>
              </w:rPr>
              <w:t>服务工作对象</w:t>
            </w:r>
          </w:p>
        </w:tc>
        <w:tc>
          <w:tcPr>
            <w:tcW w:w="2848" w:type="pct"/>
            <w:tcBorders>
              <w:top w:val="single" w:color="000000" w:sz="4" w:space="0"/>
              <w:left w:val="single" w:color="000000" w:sz="4" w:space="0"/>
              <w:bottom w:val="single" w:color="000000" w:sz="4" w:space="0"/>
              <w:right w:val="single" w:color="000000" w:sz="4" w:space="0"/>
            </w:tcBorders>
            <w:noWrap/>
            <w:vAlign w:val="center"/>
          </w:tcPr>
          <w:p w14:paraId="6E87176E">
            <w:pPr>
              <w:keepNext w:val="0"/>
              <w:keepLines w:val="0"/>
              <w:pageBreakBefore w:val="0"/>
              <w:widowControl/>
              <w:kinsoku/>
              <w:wordWrap/>
              <w:overflowPunct/>
              <w:topLinePunct w:val="0"/>
              <w:bidi w:val="0"/>
              <w:spacing w:line="240" w:lineRule="auto"/>
              <w:jc w:val="center"/>
              <w:textAlignment w:val="center"/>
              <w:rPr>
                <w:rFonts w:hint="eastAsia" w:ascii="仿宋_GB2312" w:hAnsi="仿宋_GB2312" w:eastAsia="仿宋_GB2312" w:cs="仿宋_GB2312"/>
                <w:b/>
                <w:bCs/>
                <w:szCs w:val="21"/>
              </w:rPr>
            </w:pPr>
            <w:r>
              <w:rPr>
                <w:rFonts w:hint="eastAsia" w:ascii="仿宋_GB2312" w:hAnsi="仿宋_GB2312" w:eastAsia="仿宋_GB2312" w:cs="仿宋_GB2312"/>
                <w:b/>
                <w:bCs/>
                <w:kern w:val="0"/>
                <w:szCs w:val="21"/>
                <w:lang w:bidi="ar"/>
              </w:rPr>
              <w:t>服务工作的内容和要求</w:t>
            </w:r>
          </w:p>
        </w:tc>
        <w:tc>
          <w:tcPr>
            <w:tcW w:w="883" w:type="pct"/>
            <w:tcBorders>
              <w:top w:val="single" w:color="000000" w:sz="4" w:space="0"/>
              <w:left w:val="single" w:color="000000" w:sz="4" w:space="0"/>
              <w:bottom w:val="single" w:color="000000" w:sz="4" w:space="0"/>
              <w:right w:val="single" w:color="000000" w:sz="4" w:space="0"/>
            </w:tcBorders>
            <w:noWrap/>
            <w:vAlign w:val="center"/>
          </w:tcPr>
          <w:p w14:paraId="0E5B8813">
            <w:pPr>
              <w:keepNext w:val="0"/>
              <w:keepLines w:val="0"/>
              <w:pageBreakBefore w:val="0"/>
              <w:widowControl/>
              <w:kinsoku/>
              <w:wordWrap/>
              <w:overflowPunct/>
              <w:topLinePunct w:val="0"/>
              <w:bidi w:val="0"/>
              <w:spacing w:line="240" w:lineRule="auto"/>
              <w:jc w:val="center"/>
              <w:textAlignment w:val="center"/>
              <w:rPr>
                <w:rFonts w:hint="eastAsia" w:ascii="仿宋_GB2312" w:hAnsi="仿宋_GB2312" w:eastAsia="仿宋_GB2312" w:cs="仿宋_GB2312"/>
                <w:b/>
                <w:bCs/>
                <w:szCs w:val="21"/>
              </w:rPr>
            </w:pPr>
            <w:r>
              <w:rPr>
                <w:rFonts w:hint="eastAsia" w:ascii="仿宋_GB2312" w:hAnsi="仿宋_GB2312" w:eastAsia="仿宋_GB2312" w:cs="仿宋_GB2312"/>
                <w:b/>
                <w:bCs/>
                <w:kern w:val="0"/>
                <w:szCs w:val="21"/>
                <w:lang w:bidi="ar"/>
              </w:rPr>
              <w:t>成果文件</w:t>
            </w:r>
          </w:p>
        </w:tc>
      </w:tr>
      <w:tr w14:paraId="468C652B">
        <w:tblPrEx>
          <w:tblCellMar>
            <w:top w:w="0" w:type="dxa"/>
            <w:left w:w="108" w:type="dxa"/>
            <w:bottom w:w="0" w:type="dxa"/>
            <w:right w:w="108" w:type="dxa"/>
          </w:tblCellMar>
        </w:tblPrEx>
        <w:trPr>
          <w:trHeight w:val="4053" w:hRule="atLeast"/>
        </w:trPr>
        <w:tc>
          <w:tcPr>
            <w:tcW w:w="445" w:type="pct"/>
            <w:tcBorders>
              <w:top w:val="single" w:color="000000" w:sz="4" w:space="0"/>
              <w:left w:val="single" w:color="000000" w:sz="4" w:space="0"/>
              <w:bottom w:val="single" w:color="000000" w:sz="4" w:space="0"/>
              <w:right w:val="single" w:color="auto" w:sz="4" w:space="0"/>
            </w:tcBorders>
            <w:noWrap/>
            <w:vAlign w:val="center"/>
          </w:tcPr>
          <w:p w14:paraId="497C7453">
            <w:pPr>
              <w:keepNext w:val="0"/>
              <w:keepLines w:val="0"/>
              <w:pageBreakBefore w:val="0"/>
              <w:kinsoku/>
              <w:wordWrap/>
              <w:overflowPunct/>
              <w:topLinePunct w:val="0"/>
              <w:bidi w:val="0"/>
              <w:spacing w:line="240" w:lineRule="auto"/>
              <w:ind w:firstLine="210" w:firstLineChars="100"/>
              <w:jc w:val="both"/>
              <w:rPr>
                <w:rFonts w:hint="eastAsia" w:ascii="仿宋_GB2312" w:hAnsi="宋体" w:eastAsia="仿宋_GB2312"/>
                <w:szCs w:val="21"/>
              </w:rPr>
            </w:pPr>
            <w:r>
              <w:rPr>
                <w:rFonts w:hint="eastAsia" w:ascii="仿宋_GB2312" w:hAnsi="宋体" w:eastAsia="仿宋_GB2312"/>
                <w:szCs w:val="21"/>
              </w:rPr>
              <w:t>1</w:t>
            </w:r>
          </w:p>
        </w:tc>
        <w:tc>
          <w:tcPr>
            <w:tcW w:w="823" w:type="pct"/>
            <w:vMerge w:val="restart"/>
            <w:tcBorders>
              <w:top w:val="single" w:color="auto" w:sz="4" w:space="0"/>
              <w:left w:val="single" w:color="auto" w:sz="4" w:space="0"/>
              <w:right w:val="single" w:color="auto" w:sz="4" w:space="0"/>
            </w:tcBorders>
            <w:noWrap w:val="0"/>
            <w:vAlign w:val="center"/>
          </w:tcPr>
          <w:p w14:paraId="1ECF1289">
            <w:pPr>
              <w:keepNext w:val="0"/>
              <w:keepLines w:val="0"/>
              <w:pageBreakBefore w:val="0"/>
              <w:kinsoku/>
              <w:wordWrap/>
              <w:overflowPunct/>
              <w:topLinePunct w:val="0"/>
              <w:bidi w:val="0"/>
              <w:spacing w:line="240" w:lineRule="auto"/>
              <w:jc w:val="center"/>
              <w:rPr>
                <w:rFonts w:hint="eastAsia" w:ascii="仿宋_GB2312" w:hAnsi="宋体" w:eastAsia="仿宋_GB2312"/>
                <w:szCs w:val="21"/>
                <w:lang w:val="en-US" w:eastAsia="zh-CN"/>
              </w:rPr>
            </w:pPr>
            <w:r>
              <w:rPr>
                <w:rFonts w:hint="eastAsia" w:ascii="仿宋_GB2312" w:hAnsi="宋体" w:eastAsia="仿宋_GB2312"/>
                <w:szCs w:val="21"/>
                <w:lang w:val="en-US" w:eastAsia="zh-CN"/>
              </w:rPr>
              <w:t>靖西市</w:t>
            </w:r>
          </w:p>
          <w:p w14:paraId="6C882182">
            <w:pPr>
              <w:keepNext w:val="0"/>
              <w:keepLines w:val="0"/>
              <w:pageBreakBefore w:val="0"/>
              <w:kinsoku/>
              <w:wordWrap/>
              <w:overflowPunct/>
              <w:topLinePunct w:val="0"/>
              <w:bidi w:val="0"/>
              <w:spacing w:line="240" w:lineRule="auto"/>
              <w:jc w:val="center"/>
              <w:rPr>
                <w:rFonts w:hint="default" w:ascii="仿宋_GB2312" w:hAnsi="宋体" w:eastAsia="仿宋_GB2312"/>
                <w:szCs w:val="21"/>
                <w:lang w:val="en-US" w:eastAsia="zh-CN"/>
              </w:rPr>
            </w:pPr>
            <w:r>
              <w:rPr>
                <w:rFonts w:hint="eastAsia" w:ascii="仿宋_GB2312" w:hAnsi="宋体" w:eastAsia="仿宋_GB2312"/>
                <w:szCs w:val="21"/>
                <w:lang w:val="en-US" w:eastAsia="zh-CN"/>
              </w:rPr>
              <w:t>妇幼保健院</w:t>
            </w:r>
          </w:p>
        </w:tc>
        <w:tc>
          <w:tcPr>
            <w:tcW w:w="2848" w:type="pct"/>
            <w:tcBorders>
              <w:top w:val="single" w:color="000000" w:sz="4" w:space="0"/>
              <w:left w:val="single" w:color="auto" w:sz="4" w:space="0"/>
              <w:bottom w:val="single" w:color="000000" w:sz="4" w:space="0"/>
              <w:right w:val="single" w:color="000000" w:sz="4" w:space="0"/>
            </w:tcBorders>
            <w:noWrap w:val="0"/>
            <w:vAlign w:val="center"/>
          </w:tcPr>
          <w:p w14:paraId="6318529F">
            <w:pPr>
              <w:keepNext w:val="0"/>
              <w:keepLines w:val="0"/>
              <w:pageBreakBefore w:val="0"/>
              <w:kinsoku/>
              <w:wordWrap/>
              <w:overflowPunct/>
              <w:topLinePunct w:val="0"/>
              <w:bidi w:val="0"/>
              <w:spacing w:line="240" w:lineRule="auto"/>
              <w:ind w:firstLine="420" w:firstLineChars="200"/>
              <w:rPr>
                <w:rFonts w:hint="eastAsia" w:ascii="仿宋_GB2312" w:hAnsi="宋体" w:eastAsia="仿宋_GB2312"/>
                <w:szCs w:val="21"/>
              </w:rPr>
            </w:pPr>
            <w:r>
              <w:rPr>
                <w:rFonts w:hint="eastAsia" w:ascii="仿宋_GB2312" w:hAnsi="宋体" w:eastAsia="仿宋_GB2312"/>
                <w:szCs w:val="21"/>
              </w:rPr>
              <w:t>医院层面内部控制评价的内容主要包括内部控制组织架构与议事决策、内控工作运行机制、运行机制、风险评估、关键岗位与人员、会计及信息系统、信息系统管控、财务与业务融合、内控监督与考核、廉政风险防控医院控制环境、监控活动等方面。</w:t>
            </w:r>
          </w:p>
          <w:p w14:paraId="3D225FD0">
            <w:pPr>
              <w:keepNext w:val="0"/>
              <w:keepLines w:val="0"/>
              <w:pageBreakBefore w:val="0"/>
              <w:kinsoku/>
              <w:wordWrap/>
              <w:overflowPunct/>
              <w:topLinePunct w:val="0"/>
              <w:bidi w:val="0"/>
              <w:spacing w:line="240" w:lineRule="auto"/>
              <w:ind w:firstLine="420" w:firstLineChars="200"/>
              <w:rPr>
                <w:rFonts w:hint="eastAsia" w:ascii="仿宋_GB2312" w:hAnsi="宋体" w:eastAsia="仿宋_GB2312"/>
                <w:szCs w:val="21"/>
              </w:rPr>
            </w:pPr>
            <w:r>
              <w:rPr>
                <w:rFonts w:hint="eastAsia" w:ascii="仿宋_GB2312" w:hAnsi="宋体" w:eastAsia="仿宋_GB2312"/>
                <w:szCs w:val="21"/>
              </w:rPr>
              <w:t>各业务层面内部控制的评价内容主要包括医院预决算管理、资产管理、债务管理、收入管理、支出管理、合同管理、采购管理、工程项目管理、科研项目管理、财政专项项目管理、经济活动信息化管理等方面。</w:t>
            </w:r>
          </w:p>
          <w:p w14:paraId="3720D176">
            <w:pPr>
              <w:keepNext w:val="0"/>
              <w:keepLines w:val="0"/>
              <w:pageBreakBefore w:val="0"/>
              <w:kinsoku/>
              <w:wordWrap/>
              <w:overflowPunct/>
              <w:topLinePunct w:val="0"/>
              <w:bidi w:val="0"/>
              <w:spacing w:line="240" w:lineRule="auto"/>
              <w:ind w:firstLine="420" w:firstLineChars="200"/>
              <w:rPr>
                <w:rFonts w:hint="eastAsia" w:ascii="仿宋_GB2312" w:eastAsia="仿宋_GB2312" w:cs="Times New Roman"/>
                <w:sz w:val="21"/>
                <w:szCs w:val="21"/>
                <w:lang w:val="en-US" w:bidi="ar-SA"/>
              </w:rPr>
            </w:pPr>
            <w:r>
              <w:rPr>
                <w:rFonts w:hint="eastAsia" w:ascii="仿宋_GB2312" w:hAnsi="宋体" w:eastAsia="仿宋_GB2312"/>
                <w:szCs w:val="21"/>
              </w:rPr>
              <w:t>内部控制建设监督检查工作小组对上一次内部控制评价所提出的缺陷、风险、整改建议、整改措施的落实情况进行检查。</w:t>
            </w:r>
          </w:p>
        </w:tc>
        <w:tc>
          <w:tcPr>
            <w:tcW w:w="883" w:type="pct"/>
            <w:tcBorders>
              <w:top w:val="single" w:color="000000" w:sz="4" w:space="0"/>
              <w:left w:val="single" w:color="000000" w:sz="4" w:space="0"/>
              <w:bottom w:val="single" w:color="000000" w:sz="4" w:space="0"/>
              <w:right w:val="single" w:color="000000" w:sz="4" w:space="0"/>
            </w:tcBorders>
            <w:noWrap w:val="0"/>
            <w:vAlign w:val="center"/>
          </w:tcPr>
          <w:p w14:paraId="312DECEE">
            <w:pPr>
              <w:pStyle w:val="6"/>
              <w:keepNext w:val="0"/>
              <w:keepLines w:val="0"/>
              <w:pageBreakBefore w:val="0"/>
              <w:kinsoku/>
              <w:wordWrap/>
              <w:overflowPunct/>
              <w:topLinePunct w:val="0"/>
              <w:bidi w:val="0"/>
              <w:spacing w:line="240" w:lineRule="auto"/>
              <w:rPr>
                <w:rFonts w:hint="eastAsia" w:ascii="仿宋_GB2312" w:eastAsia="仿宋_GB2312" w:cs="Times New Roman"/>
                <w:sz w:val="21"/>
                <w:szCs w:val="21"/>
                <w:lang w:val="en-US" w:eastAsia="zh-CN" w:bidi="ar-SA"/>
              </w:rPr>
            </w:pPr>
            <w:r>
              <w:rPr>
                <w:rFonts w:hint="eastAsia" w:ascii="仿宋_GB2312" w:eastAsia="仿宋_GB2312" w:cs="Times New Roman"/>
                <w:sz w:val="21"/>
                <w:szCs w:val="21"/>
                <w:lang w:val="en-US" w:bidi="ar-SA"/>
              </w:rPr>
              <w:t>《</w:t>
            </w:r>
            <w:r>
              <w:rPr>
                <w:rFonts w:hint="eastAsia" w:ascii="仿宋_GB2312" w:eastAsia="仿宋_GB2312" w:cs="Times New Roman"/>
                <w:color w:val="auto"/>
                <w:sz w:val="21"/>
                <w:szCs w:val="21"/>
                <w:lang w:val="en-US" w:bidi="ar-SA"/>
              </w:rPr>
              <w:t>内部控制评价报告》</w:t>
            </w:r>
            <w:r>
              <w:rPr>
                <w:rFonts w:hint="eastAsia" w:ascii="仿宋_GB2312" w:eastAsia="仿宋_GB2312" w:cs="Times New Roman"/>
                <w:color w:val="auto"/>
                <w:sz w:val="21"/>
                <w:szCs w:val="21"/>
                <w:lang w:val="en-US" w:eastAsia="zh-CN" w:bidi="ar-SA"/>
              </w:rPr>
              <w:t>、</w:t>
            </w:r>
            <w:r>
              <w:rPr>
                <w:rFonts w:hint="eastAsia" w:ascii="仿宋_GB2312" w:eastAsia="仿宋_GB2312" w:cs="Times New Roman"/>
                <w:color w:val="auto"/>
                <w:sz w:val="21"/>
                <w:szCs w:val="21"/>
                <w:lang w:val="en-US" w:bidi="ar-SA"/>
              </w:rPr>
              <w:t>《</w:t>
            </w:r>
            <w:r>
              <w:rPr>
                <w:rFonts w:hint="eastAsia" w:ascii="仿宋_GB2312" w:eastAsia="仿宋_GB2312" w:cs="Times New Roman"/>
                <w:color w:val="auto"/>
                <w:sz w:val="21"/>
                <w:szCs w:val="21"/>
                <w:lang w:val="en-US" w:eastAsia="zh-CN" w:bidi="ar-SA"/>
              </w:rPr>
              <w:t>风险评估报告</w:t>
            </w:r>
            <w:r>
              <w:rPr>
                <w:rFonts w:hint="eastAsia" w:ascii="仿宋_GB2312" w:eastAsia="仿宋_GB2312" w:cs="Times New Roman"/>
                <w:color w:val="auto"/>
                <w:sz w:val="21"/>
                <w:szCs w:val="21"/>
                <w:lang w:val="en-US" w:bidi="ar-SA"/>
              </w:rPr>
              <w:t>》</w:t>
            </w:r>
            <w:r>
              <w:rPr>
                <w:rFonts w:hint="eastAsia" w:ascii="仿宋_GB2312" w:eastAsia="仿宋_GB2312" w:cs="Times New Roman"/>
                <w:color w:val="auto"/>
                <w:sz w:val="21"/>
                <w:szCs w:val="21"/>
                <w:lang w:val="en-US" w:eastAsia="zh-CN" w:bidi="ar-SA"/>
              </w:rPr>
              <w:t>、完整的内控评价工作底稿、整改台账、优化建议</w:t>
            </w:r>
          </w:p>
        </w:tc>
      </w:tr>
      <w:tr w14:paraId="6864E678">
        <w:tblPrEx>
          <w:tblCellMar>
            <w:top w:w="0" w:type="dxa"/>
            <w:left w:w="108" w:type="dxa"/>
            <w:bottom w:w="0" w:type="dxa"/>
            <w:right w:w="108" w:type="dxa"/>
          </w:tblCellMar>
        </w:tblPrEx>
        <w:trPr>
          <w:trHeight w:val="2002" w:hRule="atLeast"/>
        </w:trPr>
        <w:tc>
          <w:tcPr>
            <w:tcW w:w="445" w:type="pct"/>
            <w:tcBorders>
              <w:top w:val="single" w:color="000000" w:sz="4" w:space="0"/>
              <w:left w:val="single" w:color="000000" w:sz="4" w:space="0"/>
              <w:bottom w:val="single" w:color="000000" w:sz="4" w:space="0"/>
              <w:right w:val="single" w:color="auto" w:sz="4" w:space="0"/>
            </w:tcBorders>
            <w:noWrap/>
            <w:vAlign w:val="center"/>
          </w:tcPr>
          <w:p w14:paraId="39E6DDBE">
            <w:pPr>
              <w:keepNext w:val="0"/>
              <w:keepLines w:val="0"/>
              <w:pageBreakBefore w:val="0"/>
              <w:kinsoku/>
              <w:wordWrap/>
              <w:overflowPunct/>
              <w:topLinePunct w:val="0"/>
              <w:bidi w:val="0"/>
              <w:spacing w:line="240" w:lineRule="auto"/>
              <w:ind w:firstLine="210" w:firstLineChars="100"/>
              <w:jc w:val="both"/>
              <w:rPr>
                <w:rFonts w:hint="eastAsia" w:ascii="仿宋_GB2312" w:hAnsi="宋体" w:eastAsia="仿宋_GB2312"/>
                <w:szCs w:val="21"/>
                <w:lang w:val="en-US" w:eastAsia="zh-CN"/>
              </w:rPr>
            </w:pPr>
            <w:r>
              <w:rPr>
                <w:rFonts w:hint="eastAsia" w:ascii="仿宋_GB2312" w:hAnsi="宋体" w:eastAsia="仿宋_GB2312"/>
                <w:szCs w:val="21"/>
                <w:lang w:val="en-US" w:eastAsia="zh-CN"/>
              </w:rPr>
              <w:t>2</w:t>
            </w:r>
          </w:p>
        </w:tc>
        <w:tc>
          <w:tcPr>
            <w:tcW w:w="823" w:type="pct"/>
            <w:vMerge w:val="continue"/>
            <w:tcBorders>
              <w:left w:val="single" w:color="auto" w:sz="4" w:space="0"/>
              <w:right w:val="single" w:color="auto" w:sz="4" w:space="0"/>
            </w:tcBorders>
            <w:noWrap w:val="0"/>
            <w:vAlign w:val="center"/>
          </w:tcPr>
          <w:p w14:paraId="440ED713">
            <w:pPr>
              <w:keepNext w:val="0"/>
              <w:keepLines w:val="0"/>
              <w:pageBreakBefore w:val="0"/>
              <w:kinsoku/>
              <w:wordWrap/>
              <w:overflowPunct/>
              <w:topLinePunct w:val="0"/>
              <w:bidi w:val="0"/>
              <w:spacing w:line="240" w:lineRule="auto"/>
              <w:rPr>
                <w:rFonts w:hint="eastAsia" w:ascii="仿宋_GB2312" w:hAnsi="宋体" w:eastAsia="仿宋_GB2312"/>
                <w:szCs w:val="21"/>
                <w:lang w:val="en-US" w:eastAsia="zh-CN"/>
              </w:rPr>
            </w:pPr>
          </w:p>
        </w:tc>
        <w:tc>
          <w:tcPr>
            <w:tcW w:w="2848" w:type="pct"/>
            <w:tcBorders>
              <w:top w:val="single" w:color="000000" w:sz="4" w:space="0"/>
              <w:left w:val="single" w:color="auto" w:sz="4" w:space="0"/>
              <w:bottom w:val="single" w:color="000000" w:sz="4" w:space="0"/>
              <w:right w:val="single" w:color="000000" w:sz="4" w:space="0"/>
            </w:tcBorders>
            <w:noWrap w:val="0"/>
            <w:vAlign w:val="center"/>
          </w:tcPr>
          <w:p w14:paraId="3B3F6E01">
            <w:pPr>
              <w:pStyle w:val="6"/>
              <w:keepNext w:val="0"/>
              <w:keepLines w:val="0"/>
              <w:pageBreakBefore w:val="0"/>
              <w:kinsoku/>
              <w:wordWrap/>
              <w:overflowPunct/>
              <w:topLinePunct w:val="0"/>
              <w:bidi w:val="0"/>
              <w:spacing w:line="240" w:lineRule="auto"/>
              <w:ind w:firstLine="210" w:firstLineChars="100"/>
              <w:rPr>
                <w:rFonts w:hint="eastAsia" w:ascii="仿宋_GB2312" w:eastAsia="仿宋_GB2312" w:cs="Times New Roman"/>
                <w:sz w:val="21"/>
                <w:szCs w:val="21"/>
                <w:lang w:val="en-US" w:bidi="ar-SA"/>
              </w:rPr>
            </w:pPr>
            <w:r>
              <w:rPr>
                <w:rFonts w:hint="eastAsia" w:ascii="仿宋_GB2312" w:eastAsia="仿宋_GB2312" w:cs="Times New Roman"/>
                <w:sz w:val="21"/>
                <w:szCs w:val="21"/>
                <w:lang w:val="en-US" w:bidi="ar-SA"/>
              </w:rPr>
              <w:t>完成内部控制评价指标中内部控制关键业务流程测试</w:t>
            </w:r>
            <w:r>
              <w:rPr>
                <w:rFonts w:hint="eastAsia" w:ascii="仿宋_GB2312" w:eastAsia="仿宋_GB2312" w:cs="Times New Roman"/>
                <w:sz w:val="21"/>
                <w:szCs w:val="21"/>
                <w:lang w:val="en-US" w:eastAsia="zh-CN" w:bidi="ar-SA"/>
              </w:rPr>
              <w:t>、流程执行情况，包括对预算管理、收入管理、支出管理、采购管理、资产管理、建设项目管理、合同管理的关键业务流程进行了测试。</w:t>
            </w:r>
          </w:p>
        </w:tc>
        <w:tc>
          <w:tcPr>
            <w:tcW w:w="883" w:type="pct"/>
            <w:tcBorders>
              <w:top w:val="single" w:color="000000" w:sz="4" w:space="0"/>
              <w:left w:val="single" w:color="000000" w:sz="4" w:space="0"/>
              <w:bottom w:val="single" w:color="000000" w:sz="4" w:space="0"/>
              <w:right w:val="single" w:color="000000" w:sz="4" w:space="0"/>
            </w:tcBorders>
            <w:noWrap w:val="0"/>
            <w:vAlign w:val="center"/>
          </w:tcPr>
          <w:p w14:paraId="0094665C">
            <w:pPr>
              <w:pStyle w:val="6"/>
              <w:keepNext w:val="0"/>
              <w:keepLines w:val="0"/>
              <w:pageBreakBefore w:val="0"/>
              <w:kinsoku/>
              <w:wordWrap/>
              <w:overflowPunct/>
              <w:topLinePunct w:val="0"/>
              <w:bidi w:val="0"/>
              <w:spacing w:line="240" w:lineRule="auto"/>
              <w:rPr>
                <w:rFonts w:hint="eastAsia" w:ascii="仿宋_GB2312" w:eastAsia="仿宋_GB2312" w:cs="Times New Roman"/>
                <w:sz w:val="21"/>
                <w:szCs w:val="21"/>
                <w:lang w:val="en-US" w:bidi="ar-SA"/>
              </w:rPr>
            </w:pPr>
            <w:r>
              <w:rPr>
                <w:rFonts w:hint="eastAsia" w:ascii="仿宋_GB2312" w:eastAsia="仿宋_GB2312" w:cs="Times New Roman"/>
                <w:sz w:val="21"/>
                <w:szCs w:val="21"/>
                <w:lang w:val="en-US" w:bidi="ar-SA"/>
              </w:rPr>
              <w:t>测试底稿（包含测试记录、测试样本选取原则及具体样本、测试结果等）；优化、更新内容。</w:t>
            </w:r>
          </w:p>
        </w:tc>
      </w:tr>
      <w:tr w14:paraId="6CC170F2">
        <w:tblPrEx>
          <w:tblCellMar>
            <w:top w:w="0" w:type="dxa"/>
            <w:left w:w="108" w:type="dxa"/>
            <w:bottom w:w="0" w:type="dxa"/>
            <w:right w:w="108" w:type="dxa"/>
          </w:tblCellMar>
        </w:tblPrEx>
        <w:trPr>
          <w:trHeight w:val="506" w:hRule="atLeast"/>
        </w:trPr>
        <w:tc>
          <w:tcPr>
            <w:tcW w:w="445" w:type="pct"/>
            <w:tcBorders>
              <w:top w:val="single" w:color="000000" w:sz="4" w:space="0"/>
              <w:left w:val="single" w:color="000000" w:sz="4" w:space="0"/>
              <w:bottom w:val="single" w:color="000000" w:sz="4" w:space="0"/>
              <w:right w:val="single" w:color="auto" w:sz="4" w:space="0"/>
            </w:tcBorders>
            <w:noWrap/>
            <w:vAlign w:val="center"/>
          </w:tcPr>
          <w:p w14:paraId="0544B6B3">
            <w:pPr>
              <w:keepNext w:val="0"/>
              <w:keepLines w:val="0"/>
              <w:pageBreakBefore w:val="0"/>
              <w:kinsoku/>
              <w:wordWrap/>
              <w:overflowPunct/>
              <w:topLinePunct w:val="0"/>
              <w:bidi w:val="0"/>
              <w:spacing w:line="240" w:lineRule="auto"/>
              <w:ind w:firstLine="210" w:firstLineChars="100"/>
              <w:jc w:val="both"/>
              <w:rPr>
                <w:rFonts w:hint="default" w:ascii="仿宋_GB2312" w:hAnsi="宋体" w:eastAsia="仿宋_GB2312"/>
                <w:szCs w:val="21"/>
                <w:lang w:val="en-US" w:eastAsia="zh-CN"/>
              </w:rPr>
            </w:pPr>
            <w:r>
              <w:rPr>
                <w:rFonts w:hint="eastAsia" w:ascii="仿宋_GB2312" w:hAnsi="宋体" w:eastAsia="仿宋_GB2312"/>
                <w:szCs w:val="21"/>
                <w:lang w:val="en-US" w:eastAsia="zh-CN"/>
              </w:rPr>
              <w:t>3</w:t>
            </w:r>
          </w:p>
        </w:tc>
        <w:tc>
          <w:tcPr>
            <w:tcW w:w="823" w:type="pct"/>
            <w:vMerge w:val="continue"/>
            <w:tcBorders>
              <w:left w:val="single" w:color="auto" w:sz="4" w:space="0"/>
              <w:bottom w:val="single" w:color="auto" w:sz="4" w:space="0"/>
              <w:right w:val="single" w:color="auto" w:sz="4" w:space="0"/>
            </w:tcBorders>
            <w:noWrap w:val="0"/>
            <w:vAlign w:val="center"/>
          </w:tcPr>
          <w:p w14:paraId="3FDD4A8E">
            <w:pPr>
              <w:keepNext w:val="0"/>
              <w:keepLines w:val="0"/>
              <w:pageBreakBefore w:val="0"/>
              <w:kinsoku/>
              <w:wordWrap/>
              <w:overflowPunct/>
              <w:topLinePunct w:val="0"/>
              <w:bidi w:val="0"/>
              <w:spacing w:line="240" w:lineRule="auto"/>
              <w:rPr>
                <w:rFonts w:hint="eastAsia" w:ascii="仿宋_GB2312" w:hAnsi="宋体" w:eastAsia="仿宋_GB2312"/>
                <w:szCs w:val="21"/>
                <w:lang w:val="en-US" w:eastAsia="zh-CN"/>
              </w:rPr>
            </w:pPr>
          </w:p>
        </w:tc>
        <w:tc>
          <w:tcPr>
            <w:tcW w:w="2848" w:type="pct"/>
            <w:tcBorders>
              <w:top w:val="single" w:color="000000" w:sz="4" w:space="0"/>
              <w:left w:val="single" w:color="auto" w:sz="4" w:space="0"/>
              <w:bottom w:val="single" w:color="000000" w:sz="4" w:space="0"/>
              <w:right w:val="single" w:color="000000" w:sz="4" w:space="0"/>
            </w:tcBorders>
            <w:noWrap w:val="0"/>
            <w:vAlign w:val="center"/>
          </w:tcPr>
          <w:p w14:paraId="19F58A82">
            <w:pPr>
              <w:pStyle w:val="6"/>
              <w:keepNext w:val="0"/>
              <w:keepLines w:val="0"/>
              <w:pageBreakBefore w:val="0"/>
              <w:kinsoku/>
              <w:wordWrap/>
              <w:overflowPunct/>
              <w:topLinePunct w:val="0"/>
              <w:bidi w:val="0"/>
              <w:spacing w:line="240" w:lineRule="auto"/>
              <w:rPr>
                <w:rFonts w:hint="eastAsia" w:ascii="仿宋_GB2312" w:eastAsia="仿宋_GB2312" w:cs="Times New Roman"/>
                <w:sz w:val="21"/>
                <w:szCs w:val="21"/>
                <w:lang w:val="en-US" w:bidi="ar-SA"/>
              </w:rPr>
            </w:pPr>
            <w:r>
              <w:rPr>
                <w:rFonts w:hint="eastAsia" w:ascii="仿宋_GB2312" w:eastAsia="仿宋_GB2312" w:cs="Times New Roman"/>
                <w:sz w:val="21"/>
                <w:szCs w:val="21"/>
                <w:lang w:val="en-US" w:bidi="ar-SA"/>
              </w:rPr>
              <w:t>提供整改咨询指导（不含驻场）。</w:t>
            </w:r>
          </w:p>
        </w:tc>
        <w:tc>
          <w:tcPr>
            <w:tcW w:w="883" w:type="pct"/>
            <w:tcBorders>
              <w:top w:val="single" w:color="000000" w:sz="4" w:space="0"/>
              <w:left w:val="single" w:color="000000" w:sz="4" w:space="0"/>
              <w:bottom w:val="single" w:color="000000" w:sz="4" w:space="0"/>
              <w:right w:val="single" w:color="000000" w:sz="4" w:space="0"/>
            </w:tcBorders>
            <w:noWrap w:val="0"/>
            <w:vAlign w:val="center"/>
          </w:tcPr>
          <w:p w14:paraId="059AD7D1">
            <w:pPr>
              <w:pStyle w:val="6"/>
              <w:keepNext w:val="0"/>
              <w:keepLines w:val="0"/>
              <w:pageBreakBefore w:val="0"/>
              <w:kinsoku/>
              <w:wordWrap/>
              <w:overflowPunct/>
              <w:topLinePunct w:val="0"/>
              <w:bidi w:val="0"/>
              <w:spacing w:line="240" w:lineRule="auto"/>
              <w:rPr>
                <w:rFonts w:hint="eastAsia" w:ascii="仿宋_GB2312" w:eastAsia="仿宋_GB2312" w:cs="Times New Roman"/>
                <w:sz w:val="21"/>
                <w:szCs w:val="21"/>
                <w:lang w:val="en-US" w:bidi="ar-SA"/>
              </w:rPr>
            </w:pPr>
          </w:p>
        </w:tc>
      </w:tr>
    </w:tbl>
    <w:p w14:paraId="700BADB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color w:val="000000" w:themeColor="text1"/>
          <w:sz w:val="32"/>
          <w:szCs w:val="32"/>
          <w:highlight w:val="none"/>
          <w14:textFill>
            <w14:solidFill>
              <w14:schemeClr w14:val="tx1"/>
            </w14:solidFill>
          </w14:textFill>
        </w:rPr>
      </w:pPr>
      <w:r>
        <w:rPr>
          <w:rFonts w:hint="eastAsia" w:ascii="黑体" w:hAnsi="黑体" w:eastAsia="黑体" w:cs="黑体"/>
          <w:color w:val="000000" w:themeColor="text1"/>
          <w:sz w:val="32"/>
          <w:szCs w:val="32"/>
          <w:highlight w:val="none"/>
          <w14:textFill>
            <w14:solidFill>
              <w14:schemeClr w14:val="tx1"/>
            </w14:solidFill>
          </w14:textFill>
        </w:rPr>
        <w:t>三、服务要求</w:t>
      </w:r>
    </w:p>
    <w:p w14:paraId="2EC92C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000000" w:themeColor="text1"/>
          <w:sz w:val="32"/>
          <w:szCs w:val="32"/>
          <w14:textFill>
            <w14:solidFill>
              <w14:schemeClr w14:val="tx1"/>
            </w14:solidFill>
          </w14:textFill>
        </w:rPr>
      </w:pPr>
      <w:r>
        <w:rPr>
          <w:rFonts w:hint="eastAsia" w:ascii="仿宋" w:hAnsi="仿宋" w:eastAsia="仿宋" w:cs="仿宋"/>
          <w:b w:val="0"/>
          <w:bCs w:val="0"/>
          <w:color w:val="000000" w:themeColor="text1"/>
          <w:sz w:val="32"/>
          <w:szCs w:val="32"/>
          <w14:textFill>
            <w14:solidFill>
              <w14:schemeClr w14:val="tx1"/>
            </w14:solidFill>
          </w14:textFill>
        </w:rPr>
        <w:t xml:space="preserve">1. 近3年≥2家公立医院内控/审计案例，熟悉政府会计与医院内控；                                     </w:t>
      </w:r>
    </w:p>
    <w:p w14:paraId="17011E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000000" w:themeColor="text1"/>
          <w:sz w:val="32"/>
          <w:szCs w:val="32"/>
          <w14:textFill>
            <w14:solidFill>
              <w14:schemeClr w14:val="tx1"/>
            </w14:solidFill>
          </w14:textFill>
        </w:rPr>
      </w:pPr>
      <w:r>
        <w:rPr>
          <w:rFonts w:hint="eastAsia" w:ascii="仿宋" w:hAnsi="仿宋" w:eastAsia="仿宋" w:cs="仿宋"/>
          <w:b w:val="0"/>
          <w:bCs w:val="0"/>
          <w:color w:val="000000" w:themeColor="text1"/>
          <w:sz w:val="32"/>
          <w:szCs w:val="32"/>
          <w14:textFill>
            <w14:solidFill>
              <w14:schemeClr w14:val="tx1"/>
            </w14:solidFill>
          </w14:textFill>
        </w:rPr>
        <w:t xml:space="preserve">2. 独立法人，含内控/审计/咨询经营范围，会计师事务所执业证，注会≥1人；                        </w:t>
      </w:r>
    </w:p>
    <w:p w14:paraId="1E6863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b w:val="0"/>
          <w:bCs w:val="0"/>
          <w:color w:val="000000" w:themeColor="text1"/>
          <w:sz w:val="32"/>
          <w:szCs w:val="32"/>
          <w14:textFill>
            <w14:solidFill>
              <w14:schemeClr w14:val="tx1"/>
            </w14:solidFill>
          </w14:textFill>
        </w:rPr>
      </w:pPr>
      <w:r>
        <w:rPr>
          <w:rFonts w:hint="eastAsia" w:ascii="仿宋" w:hAnsi="仿宋" w:eastAsia="仿宋" w:cs="仿宋"/>
          <w:b w:val="0"/>
          <w:bCs w:val="0"/>
          <w:color w:val="000000" w:themeColor="text1"/>
          <w:sz w:val="32"/>
          <w:szCs w:val="32"/>
          <w14:textFill>
            <w14:solidFill>
              <w14:schemeClr w14:val="tx1"/>
            </w14:solidFill>
          </w14:textFill>
        </w:rPr>
        <w:t xml:space="preserve">3. 项目负责人：中级职称+注会，≥5年经验，医疗行业优先；                           </w:t>
      </w:r>
    </w:p>
    <w:p w14:paraId="40D5D42D">
      <w:pPr>
        <w:keepNext w:val="0"/>
        <w:keepLines w:val="0"/>
        <w:pageBreakBefore w:val="0"/>
        <w:widowControl w:val="0"/>
        <w:kinsoku/>
        <w:wordWrap/>
        <w:overflowPunct/>
        <w:topLinePunct w:val="0"/>
        <w:autoSpaceDE/>
        <w:autoSpaceDN/>
        <w:bidi w:val="0"/>
        <w:adjustRightInd/>
        <w:snapToGrid/>
        <w:spacing w:line="560" w:lineRule="exact"/>
        <w:ind w:left="638" w:leftChars="304" w:firstLine="0" w:firstLineChars="0"/>
        <w:textAlignment w:val="auto"/>
        <w:rPr>
          <w:rFonts w:hint="eastAsia" w:ascii="仿宋" w:hAnsi="仿宋" w:eastAsia="仿宋" w:cs="仿宋"/>
          <w:b w:val="0"/>
          <w:bCs w:val="0"/>
          <w:color w:val="000000" w:themeColor="text1"/>
          <w:sz w:val="32"/>
          <w:szCs w:val="32"/>
          <w14:textFill>
            <w14:solidFill>
              <w14:schemeClr w14:val="tx1"/>
            </w14:solidFill>
          </w14:textFill>
        </w:rPr>
      </w:pPr>
      <w:r>
        <w:rPr>
          <w:rFonts w:hint="eastAsia" w:ascii="仿宋" w:hAnsi="仿宋" w:eastAsia="仿宋" w:cs="仿宋"/>
          <w:b w:val="0"/>
          <w:bCs w:val="0"/>
          <w:color w:val="000000" w:themeColor="text1"/>
          <w:sz w:val="32"/>
          <w:szCs w:val="32"/>
          <w14:textFill>
            <w14:solidFill>
              <w14:schemeClr w14:val="tx1"/>
            </w14:solidFill>
          </w14:textFill>
        </w:rPr>
        <w:t>4. 团队≥3人，负责人驻场，换人需医院书面同意；                                               5. 信用良好，无失信违法记录，不接受联合体投标。</w:t>
      </w:r>
    </w:p>
    <w:p w14:paraId="7AADD2E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b/>
          <w:bCs/>
          <w:color w:val="000000" w:themeColor="text1"/>
          <w:sz w:val="32"/>
          <w:szCs w:val="32"/>
          <w14:textFill>
            <w14:solidFill>
              <w14:schemeClr w14:val="tx1"/>
            </w14:solidFill>
          </w14:textFill>
        </w:rPr>
      </w:pPr>
      <w:r>
        <w:rPr>
          <w:rFonts w:hint="eastAsia" w:ascii="楷体" w:hAnsi="楷体" w:eastAsia="楷体" w:cs="楷体"/>
          <w:b/>
          <w:bCs/>
          <w:color w:val="000000" w:themeColor="text1"/>
          <w:sz w:val="32"/>
          <w:szCs w:val="32"/>
          <w14:textFill>
            <w14:solidFill>
              <w14:schemeClr w14:val="tx1"/>
            </w14:solidFill>
          </w14:textFill>
        </w:rPr>
        <w:t>（二）工作质量要求</w:t>
      </w:r>
    </w:p>
    <w:p w14:paraId="5CF8B22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1.</w:t>
      </w:r>
      <w:r>
        <w:rPr>
          <w:rFonts w:hint="default" w:ascii="Times New Roman" w:hAnsi="Times New Roman" w:eastAsia="仿宋_GB2312" w:cs="Times New Roman"/>
          <w:color w:val="000000" w:themeColor="text1"/>
          <w:sz w:val="32"/>
          <w:szCs w:val="32"/>
          <w14:textFill>
            <w14:solidFill>
              <w14:schemeClr w14:val="tx1"/>
            </w14:solidFill>
          </w14:textFill>
        </w:rPr>
        <w:t>合规性标准：严格遵循</w:t>
      </w:r>
      <w:r>
        <w:rPr>
          <w:rFonts w:hint="eastAsia" w:ascii="仿宋" w:hAnsi="仿宋" w:eastAsia="仿宋" w:cs="仿宋"/>
          <w:color w:val="000000" w:themeColor="text1"/>
          <w:sz w:val="32"/>
          <w:szCs w:val="32"/>
          <w14:textFill>
            <w14:solidFill>
              <w14:schemeClr w14:val="tx1"/>
            </w14:solidFill>
          </w14:textFill>
        </w:rPr>
        <w:t>《会计法》</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《预算法》</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《政府采购法》</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《政府会计制度》</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《公立医院内部控制管理办法》</w:t>
      </w:r>
      <w:r>
        <w:rPr>
          <w:rFonts w:hint="default" w:ascii="Times New Roman" w:hAnsi="Times New Roman" w:eastAsia="仿宋_GB2312" w:cs="Times New Roman"/>
          <w:color w:val="000000" w:themeColor="text1"/>
          <w:sz w:val="32"/>
          <w:szCs w:val="32"/>
          <w14:textFill>
            <w14:solidFill>
              <w14:schemeClr w14:val="tx1"/>
            </w14:solidFill>
          </w14:textFill>
        </w:rPr>
        <w:t>等</w:t>
      </w:r>
      <w:r>
        <w:rPr>
          <w:rFonts w:hint="eastAsia" w:ascii="仿宋" w:hAnsi="仿宋" w:eastAsia="仿宋" w:cs="仿宋"/>
          <w:color w:val="000000" w:themeColor="text1"/>
          <w:sz w:val="32"/>
          <w:szCs w:val="32"/>
          <w14:textFill>
            <w14:solidFill>
              <w14:schemeClr w14:val="tx1"/>
            </w14:solidFill>
          </w14:textFill>
        </w:rPr>
        <w:t>国家法律法规</w:t>
      </w:r>
      <w:r>
        <w:rPr>
          <w:rFonts w:hint="default" w:ascii="Times New Roman" w:hAnsi="Times New Roman" w:eastAsia="仿宋_GB2312" w:cs="Times New Roman"/>
          <w:color w:val="000000" w:themeColor="text1"/>
          <w:sz w:val="32"/>
          <w:szCs w:val="32"/>
          <w14:textFill>
            <w14:solidFill>
              <w14:schemeClr w14:val="tx1"/>
            </w14:solidFill>
          </w14:textFill>
        </w:rPr>
        <w:t>，确保</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内控评价</w:t>
      </w:r>
      <w:r>
        <w:rPr>
          <w:rFonts w:hint="default" w:ascii="Times New Roman" w:hAnsi="Times New Roman" w:eastAsia="仿宋_GB2312" w:cs="Times New Roman"/>
          <w:color w:val="000000" w:themeColor="text1"/>
          <w:sz w:val="32"/>
          <w:szCs w:val="32"/>
          <w14:textFill>
            <w14:solidFill>
              <w14:schemeClr w14:val="tx1"/>
            </w14:solidFill>
          </w14:textFill>
        </w:rPr>
        <w:t>工作合法合规。</w:t>
      </w:r>
    </w:p>
    <w:p w14:paraId="75737DB0">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firstLine="640" w:firstLineChars="200"/>
        <w:jc w:val="left"/>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w:t>
      </w:r>
      <w:r>
        <w:rPr>
          <w:rFonts w:hint="eastAsia" w:ascii="仿宋" w:hAnsi="仿宋" w:eastAsia="仿宋" w:cs="仿宋"/>
          <w:color w:val="000000" w:themeColor="text1"/>
          <w:sz w:val="32"/>
          <w:szCs w:val="32"/>
          <w14:textFill>
            <w14:solidFill>
              <w14:schemeClr w14:val="tx1"/>
            </w14:solidFill>
          </w14:textFill>
        </w:rPr>
        <w:t>行业规范：</w:t>
      </w:r>
      <w:r>
        <w:rPr>
          <w:rFonts w:hint="eastAsia" w:ascii="仿宋" w:hAnsi="仿宋" w:eastAsia="仿宋" w:cs="仿宋"/>
          <w:color w:val="000000" w:themeColor="text1"/>
          <w:sz w:val="32"/>
          <w:szCs w:val="32"/>
          <w:lang w:eastAsia="zh-CN"/>
          <w14:textFill>
            <w14:solidFill>
              <w14:schemeClr w14:val="tx1"/>
            </w14:solidFill>
          </w14:textFill>
        </w:rPr>
        <w:t>按照</w:t>
      </w:r>
      <w:r>
        <w:rPr>
          <w:rFonts w:hint="eastAsia" w:ascii="仿宋" w:hAnsi="仿宋" w:eastAsia="仿宋" w:cs="仿宋"/>
          <w:color w:val="000000" w:themeColor="text1"/>
          <w:sz w:val="32"/>
          <w:szCs w:val="32"/>
          <w14:textFill>
            <w14:solidFill>
              <w14:schemeClr w14:val="tx1"/>
            </w14:solidFill>
          </w14:textFill>
        </w:rPr>
        <w:t>行政事业单位内部控制规范、医疗卫生机构财务管理制度、医保基金使用管理规定等；</w:t>
      </w:r>
    </w:p>
    <w:p w14:paraId="22F1D71A">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firstLine="640" w:firstLineChars="200"/>
        <w:jc w:val="left"/>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3.</w:t>
      </w:r>
      <w:r>
        <w:rPr>
          <w:rFonts w:hint="eastAsia" w:ascii="仿宋" w:hAnsi="仿宋" w:eastAsia="仿宋" w:cs="仿宋"/>
          <w:color w:val="000000" w:themeColor="text1"/>
          <w:sz w:val="32"/>
          <w:szCs w:val="32"/>
          <w14:textFill>
            <w14:solidFill>
              <w14:schemeClr w14:val="tx1"/>
            </w14:solidFill>
          </w14:textFill>
        </w:rPr>
        <w:t>内部制度：</w:t>
      </w:r>
      <w:r>
        <w:rPr>
          <w:rFonts w:hint="eastAsia" w:ascii="仿宋" w:hAnsi="仿宋" w:eastAsia="仿宋" w:cs="仿宋"/>
          <w:color w:val="000000" w:themeColor="text1"/>
          <w:sz w:val="32"/>
          <w:szCs w:val="32"/>
          <w:lang w:eastAsia="zh-CN"/>
          <w14:textFill>
            <w14:solidFill>
              <w14:schemeClr w14:val="tx1"/>
            </w14:solidFill>
          </w14:textFill>
        </w:rPr>
        <w:t>医院</w:t>
      </w:r>
      <w:r>
        <w:rPr>
          <w:rFonts w:hint="eastAsia" w:ascii="仿宋" w:hAnsi="仿宋" w:eastAsia="仿宋" w:cs="仿宋"/>
          <w:color w:val="000000" w:themeColor="text1"/>
          <w:sz w:val="32"/>
          <w:szCs w:val="32"/>
          <w14:textFill>
            <w14:solidFill>
              <w14:schemeClr w14:val="tx1"/>
            </w14:solidFill>
          </w14:textFill>
        </w:rPr>
        <w:t>现行章程、管理制度、岗位职责、业务流程、议事规则等内部文件；</w:t>
      </w:r>
    </w:p>
    <w:p w14:paraId="073F9F1C">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firstLine="640" w:firstLineChars="200"/>
        <w:jc w:val="left"/>
        <w:textAlignment w:val="auto"/>
        <w:rPr>
          <w:rFonts w:hint="default" w:eastAsia="仿宋_GB2312"/>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4.</w:t>
      </w:r>
      <w:r>
        <w:rPr>
          <w:rFonts w:hint="eastAsia" w:ascii="仿宋" w:hAnsi="仿宋" w:eastAsia="仿宋" w:cs="仿宋"/>
          <w:color w:val="000000" w:themeColor="text1"/>
          <w:sz w:val="32"/>
          <w:szCs w:val="32"/>
          <w14:textFill>
            <w14:solidFill>
              <w14:schemeClr w14:val="tx1"/>
            </w14:solidFill>
          </w14:textFill>
        </w:rPr>
        <w:t>上级文件：卫健委、财政局、审计局关于内控建设与评价的专项通知要求</w:t>
      </w:r>
      <w:r>
        <w:rPr>
          <w:rFonts w:hint="eastAsia" w:ascii="仿宋" w:hAnsi="仿宋" w:eastAsia="仿宋" w:cs="仿宋"/>
          <w:color w:val="000000" w:themeColor="text1"/>
          <w:sz w:val="32"/>
          <w:szCs w:val="32"/>
          <w:lang w:eastAsia="zh-CN"/>
          <w14:textFill>
            <w14:solidFill>
              <w14:schemeClr w14:val="tx1"/>
            </w14:solidFill>
          </w14:textFill>
        </w:rPr>
        <w:t>，按照</w:t>
      </w:r>
      <w:r>
        <w:rPr>
          <w:rFonts w:hint="eastAsia" w:ascii="仿宋" w:hAnsi="仿宋" w:eastAsia="仿宋" w:cs="仿宋"/>
          <w:color w:val="000000" w:themeColor="text1"/>
          <w:sz w:val="32"/>
          <w:szCs w:val="32"/>
          <w14:textFill>
            <w14:solidFill>
              <w14:schemeClr w14:val="tx1"/>
            </w14:solidFill>
          </w14:textFill>
        </w:rPr>
        <w:t>《</w:t>
      </w:r>
      <w:r>
        <w:rPr>
          <w:rFonts w:hint="eastAsia" w:ascii="仿宋" w:hAnsi="仿宋" w:eastAsia="仿宋" w:cs="仿宋"/>
          <w:color w:val="000000" w:themeColor="text1"/>
          <w:sz w:val="32"/>
          <w:szCs w:val="32"/>
          <w:lang w:eastAsia="zh-CN"/>
          <w14:textFill>
            <w14:solidFill>
              <w14:schemeClr w14:val="tx1"/>
            </w14:solidFill>
          </w14:textFill>
        </w:rPr>
        <w:t>广西壮族自治区公立医院内部控制评价指标</w:t>
      </w:r>
      <w:r>
        <w:rPr>
          <w:rFonts w:hint="eastAsia" w:ascii="仿宋" w:hAnsi="仿宋" w:eastAsia="仿宋" w:cs="仿宋"/>
          <w:color w:val="000000" w:themeColor="text1"/>
          <w:sz w:val="32"/>
          <w:szCs w:val="32"/>
          <w14:textFill>
            <w14:solidFill>
              <w14:schemeClr w14:val="tx1"/>
            </w14:solidFill>
          </w14:textFill>
        </w:rPr>
        <w:t>》</w:t>
      </w:r>
      <w:r>
        <w:rPr>
          <w:rFonts w:hint="eastAsia" w:ascii="仿宋" w:hAnsi="仿宋" w:eastAsia="仿宋" w:cs="仿宋"/>
          <w:color w:val="000000" w:themeColor="text1"/>
          <w:sz w:val="32"/>
          <w:szCs w:val="32"/>
          <w:lang w:eastAsia="zh-CN"/>
          <w14:textFill>
            <w14:solidFill>
              <w14:schemeClr w14:val="tx1"/>
            </w14:solidFill>
          </w14:textFill>
        </w:rPr>
        <w:t>的要求开展内控评价工作</w:t>
      </w:r>
      <w:r>
        <w:rPr>
          <w:rFonts w:hint="eastAsia" w:ascii="仿宋" w:hAnsi="仿宋" w:eastAsia="仿宋" w:cs="仿宋"/>
          <w:color w:val="000000" w:themeColor="text1"/>
          <w:sz w:val="32"/>
          <w:szCs w:val="32"/>
          <w14:textFill>
            <w14:solidFill>
              <w14:schemeClr w14:val="tx1"/>
            </w14:solidFill>
          </w14:textFill>
        </w:rPr>
        <w:t>。</w:t>
      </w:r>
    </w:p>
    <w:p w14:paraId="3E808D3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b/>
          <w:bCs/>
          <w:color w:val="000000" w:themeColor="text1"/>
          <w:sz w:val="32"/>
          <w:szCs w:val="32"/>
          <w14:textFill>
            <w14:solidFill>
              <w14:schemeClr w14:val="tx1"/>
            </w14:solidFill>
          </w14:textFill>
        </w:rPr>
      </w:pPr>
      <w:r>
        <w:rPr>
          <w:rFonts w:hint="eastAsia" w:ascii="楷体" w:hAnsi="楷体" w:eastAsia="楷体" w:cs="楷体"/>
          <w:b/>
          <w:bCs/>
          <w:color w:val="000000" w:themeColor="text1"/>
          <w:sz w:val="32"/>
          <w:szCs w:val="32"/>
          <w14:textFill>
            <w14:solidFill>
              <w14:schemeClr w14:val="tx1"/>
            </w14:solidFill>
          </w14:textFill>
        </w:rPr>
        <w:t>（三）成果交付要求</w:t>
      </w:r>
    </w:p>
    <w:p w14:paraId="503A16C0">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1. </w:t>
      </w:r>
      <w:r>
        <w:rPr>
          <w:rFonts w:ascii="Arial Narrow" w:hAnsi="Arial Narrow" w:eastAsia="仿宋_GB2312"/>
          <w:color w:val="auto"/>
          <w:sz w:val="32"/>
          <w:szCs w:val="32"/>
        </w:rPr>
        <w:t>乙方</w:t>
      </w:r>
      <w:r>
        <w:rPr>
          <w:rFonts w:hint="eastAsia" w:ascii="Arial Narrow" w:hAnsi="Arial Narrow" w:eastAsia="仿宋_GB2312"/>
          <w:color w:val="auto"/>
          <w:sz w:val="32"/>
          <w:szCs w:val="32"/>
          <w:lang w:eastAsia="zh-CN"/>
        </w:rPr>
        <w:t>交付的成果必须</w:t>
      </w:r>
      <w:r>
        <w:rPr>
          <w:rFonts w:hint="eastAsia" w:ascii="方正仿宋_GB2312" w:hAnsi="方正仿宋_GB2312" w:eastAsia="方正仿宋_GB2312" w:cs="方正仿宋_GB2312"/>
          <w:color w:val="auto"/>
          <w:sz w:val="32"/>
          <w:szCs w:val="32"/>
          <w:lang w:val="en-US" w:eastAsia="zh-CN"/>
        </w:rPr>
        <w:t xml:space="preserve">合规合法，符合卫健委、财政、审计及广西内部控制评价指标要求；                                     </w:t>
      </w:r>
    </w:p>
    <w:p w14:paraId="5AA68B9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方正仿宋_GB2312" w:hAnsi="方正仿宋_GB2312" w:eastAsia="方正仿宋_GB2312" w:cs="方正仿宋_GB2312"/>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2. 交付内容：</w:t>
      </w:r>
      <w:r>
        <w:rPr>
          <w:rFonts w:ascii="Arial Narrow" w:hAnsi="Arial Narrow" w:eastAsia="仿宋_GB2312"/>
          <w:color w:val="auto"/>
          <w:kern w:val="0"/>
          <w:sz w:val="32"/>
          <w:szCs w:val="32"/>
        </w:rPr>
        <w:t>乙方向甲方</w:t>
      </w:r>
      <w:r>
        <w:rPr>
          <w:rFonts w:hint="eastAsia" w:ascii="Arial Narrow" w:hAnsi="Arial Narrow" w:eastAsia="仿宋_GB2312"/>
          <w:color w:val="auto"/>
          <w:sz w:val="32"/>
          <w:szCs w:val="32"/>
          <w:lang w:eastAsia="zh-CN"/>
        </w:rPr>
        <w:t>交付</w:t>
      </w:r>
      <w:r>
        <w:rPr>
          <w:rFonts w:hint="eastAsia" w:ascii="Arial Narrow" w:hAnsi="Arial Narrow" w:eastAsia="仿宋_GB2312"/>
          <w:color w:val="auto"/>
          <w:sz w:val="32"/>
          <w:szCs w:val="32"/>
        </w:rPr>
        <w:t>《内部控制评价报告》</w:t>
      </w:r>
      <w:r>
        <w:rPr>
          <w:rFonts w:hint="eastAsia" w:ascii="Arial Narrow" w:hAnsi="Arial Narrow" w:eastAsia="仿宋_GB2312"/>
          <w:color w:val="auto"/>
          <w:sz w:val="32"/>
          <w:szCs w:val="32"/>
          <w:lang w:eastAsia="zh-CN"/>
        </w:rPr>
        <w:t>、</w:t>
      </w:r>
      <w:r>
        <w:rPr>
          <w:rFonts w:hint="eastAsia" w:ascii="仿宋_GB2312" w:eastAsia="仿宋_GB2312" w:cs="Times New Roman"/>
          <w:color w:val="auto"/>
          <w:sz w:val="32"/>
          <w:szCs w:val="32"/>
          <w:lang w:val="en-US" w:bidi="ar-SA"/>
        </w:rPr>
        <w:t>《</w:t>
      </w:r>
      <w:r>
        <w:rPr>
          <w:rFonts w:hint="eastAsia" w:ascii="仿宋_GB2312" w:eastAsia="仿宋_GB2312" w:cs="Times New Roman"/>
          <w:color w:val="auto"/>
          <w:sz w:val="32"/>
          <w:szCs w:val="32"/>
          <w:lang w:val="en-US" w:eastAsia="zh-CN" w:bidi="ar-SA"/>
        </w:rPr>
        <w:t>风险评估报告</w:t>
      </w:r>
      <w:r>
        <w:rPr>
          <w:rFonts w:hint="eastAsia" w:ascii="仿宋_GB2312" w:eastAsia="仿宋_GB2312" w:cs="Times New Roman"/>
          <w:color w:val="auto"/>
          <w:sz w:val="32"/>
          <w:szCs w:val="32"/>
          <w:lang w:val="en-US" w:bidi="ar-SA"/>
        </w:rPr>
        <w:t>》</w:t>
      </w:r>
      <w:r>
        <w:rPr>
          <w:rFonts w:hint="eastAsia" w:ascii="方正仿宋_GB2312" w:hAnsi="方正仿宋_GB2312" w:eastAsia="方正仿宋_GB2312" w:cs="方正仿宋_GB2312"/>
          <w:color w:val="auto"/>
          <w:sz w:val="32"/>
          <w:szCs w:val="32"/>
          <w:lang w:val="en-US" w:eastAsia="zh-CN"/>
        </w:rPr>
        <w:t>、整改台账、内控评价工作底稿、关键业务流程穿行测试与控制测试底稿、优化建议等材料；交付的材料要求电子(PDF+Word)各1套，纸质材料</w:t>
      </w:r>
      <w:r>
        <w:rPr>
          <w:rFonts w:ascii="Arial Narrow" w:hAnsi="Arial Narrow" w:eastAsia="仿宋_GB2312"/>
          <w:color w:val="auto"/>
          <w:kern w:val="0"/>
          <w:sz w:val="32"/>
          <w:szCs w:val="32"/>
        </w:rPr>
        <w:t>一式</w:t>
      </w:r>
      <w:r>
        <w:rPr>
          <w:rFonts w:hint="eastAsia" w:ascii="Arial Narrow" w:hAnsi="Arial Narrow" w:eastAsia="仿宋_GB2312"/>
          <w:color w:val="auto"/>
          <w:kern w:val="0"/>
          <w:sz w:val="32"/>
          <w:szCs w:val="32"/>
          <w:lang w:val="en-US" w:eastAsia="zh-CN"/>
        </w:rPr>
        <w:t xml:space="preserve"> </w:t>
      </w:r>
      <w:r>
        <w:rPr>
          <w:rFonts w:hint="eastAsia" w:ascii="方正仿宋_GB2312" w:hAnsi="方正仿宋_GB2312" w:eastAsia="方正仿宋_GB2312" w:cs="方正仿宋_GB2312"/>
          <w:color w:val="auto"/>
          <w:sz w:val="32"/>
          <w:szCs w:val="32"/>
          <w:lang w:val="en-US" w:eastAsia="zh-CN"/>
        </w:rPr>
        <w:t xml:space="preserve">肆 份。                 </w:t>
      </w:r>
    </w:p>
    <w:p w14:paraId="0AF612C5">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color w:val="auto"/>
          <w:sz w:val="32"/>
          <w:szCs w:val="32"/>
          <w:lang w:val="en-US" w:eastAsia="zh-CN"/>
        </w:rPr>
      </w:pPr>
      <w:r>
        <w:rPr>
          <w:rFonts w:hint="eastAsia" w:ascii="方正仿宋_GB2312" w:hAnsi="方正仿宋_GB2312" w:eastAsia="方正仿宋_GB2312" w:cs="方正仿宋_GB2312"/>
          <w:color w:val="auto"/>
          <w:sz w:val="32"/>
          <w:szCs w:val="32"/>
          <w:lang w:val="en-US" w:eastAsia="zh-CN"/>
        </w:rPr>
        <w:t xml:space="preserve">    3. 成果要完整、准确、合规、按时交付。</w:t>
      </w:r>
    </w:p>
    <w:p w14:paraId="23A7F9B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b/>
          <w:bCs/>
          <w:color w:val="000000" w:themeColor="text1"/>
          <w:sz w:val="32"/>
          <w:szCs w:val="32"/>
          <w14:textFill>
            <w14:solidFill>
              <w14:schemeClr w14:val="tx1"/>
            </w14:solidFill>
          </w14:textFill>
        </w:rPr>
      </w:pPr>
      <w:r>
        <w:rPr>
          <w:rFonts w:hint="eastAsia" w:ascii="楷体" w:hAnsi="楷体" w:eastAsia="楷体" w:cs="楷体"/>
          <w:b/>
          <w:bCs/>
          <w:color w:val="000000" w:themeColor="text1"/>
          <w:sz w:val="32"/>
          <w:szCs w:val="32"/>
          <w14:textFill>
            <w14:solidFill>
              <w14:schemeClr w14:val="tx1"/>
            </w14:solidFill>
          </w14:textFill>
        </w:rPr>
        <w:t>（四）保密与纪律要求</w:t>
      </w:r>
    </w:p>
    <w:p w14:paraId="5C71CED7">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firstLine="640" w:firstLineChars="200"/>
        <w:jc w:val="left"/>
        <w:textAlignment w:val="auto"/>
        <w:rPr>
          <w:rFonts w:hint="eastAsia" w:ascii="仿宋" w:hAnsi="仿宋" w:eastAsia="仿宋" w:cs="仿宋"/>
          <w:b w:val="0"/>
          <w:bCs/>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1.</w:t>
      </w:r>
      <w:r>
        <w:rPr>
          <w:rFonts w:hint="eastAsia" w:ascii="仿宋" w:hAnsi="仿宋" w:eastAsia="仿宋" w:cs="仿宋"/>
          <w:color w:val="000000" w:themeColor="text1"/>
          <w:sz w:val="32"/>
          <w:szCs w:val="32"/>
          <w14:textFill>
            <w14:solidFill>
              <w14:schemeClr w14:val="tx1"/>
            </w14:solidFill>
          </w14:textFill>
        </w:rPr>
        <w:t>双方对在合作中知悉的对方商业秘密、财务数据、人事信息、业务流程、内控资料、患者信息等涉密内容，承担</w:t>
      </w:r>
      <w:r>
        <w:rPr>
          <w:rFonts w:hint="eastAsia" w:ascii="仿宋" w:hAnsi="仿宋" w:eastAsia="仿宋" w:cs="仿宋"/>
          <w:b w:val="0"/>
          <w:bCs/>
          <w:color w:val="000000" w:themeColor="text1"/>
          <w:sz w:val="32"/>
          <w:szCs w:val="32"/>
          <w14:textFill>
            <w14:solidFill>
              <w14:schemeClr w14:val="tx1"/>
            </w14:solidFill>
          </w14:textFill>
        </w:rPr>
        <w:t>永久保密义务；</w:t>
      </w:r>
    </w:p>
    <w:p w14:paraId="7AC71BC1">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经对方书面同意，任何一方不得向第三方（关联方除外）泄露、传播、使用涉密信息；</w:t>
      </w:r>
    </w:p>
    <w:p w14:paraId="04C41D83">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乙方评价成果仅用于甲方内控管理与上级报送，不得用于其他用途；</w:t>
      </w:r>
    </w:p>
    <w:p w14:paraId="2F3792B4">
      <w:pPr>
        <w:keepNext w:val="0"/>
        <w:keepLines w:val="0"/>
        <w:pageBreakBefore w:val="0"/>
        <w:widowControl w:val="0"/>
        <w:numPr>
          <w:ilvl w:val="0"/>
          <w:numId w:val="0"/>
        </w:numPr>
        <w:kinsoku/>
        <w:wordWrap/>
        <w:overflowPunct/>
        <w:topLinePunct w:val="0"/>
        <w:autoSpaceDE/>
        <w:autoSpaceDN/>
        <w:bidi w:val="0"/>
        <w:adjustRightInd/>
        <w:snapToGrid/>
        <w:spacing w:before="120" w:after="120" w:line="56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违反保密义务的一方，需赔偿对方全部经济损失并承担相应法律责任。</w:t>
      </w:r>
    </w:p>
    <w:p w14:paraId="64A888D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工作纪律：严禁聘用非本所人员参与项目，严禁与医院相关人员串通舞弊，严禁擅自留存医院</w:t>
      </w:r>
      <w:r>
        <w:rPr>
          <w:rFonts w:hint="eastAsia" w:ascii="Times New Roman" w:hAnsi="Times New Roman" w:eastAsia="仿宋_GB2312" w:cs="Times New Roman"/>
          <w:sz w:val="32"/>
          <w:szCs w:val="32"/>
          <w:lang w:eastAsia="zh-CN"/>
        </w:rPr>
        <w:t>内控</w:t>
      </w:r>
      <w:r>
        <w:rPr>
          <w:rFonts w:hint="default" w:ascii="Times New Roman" w:hAnsi="Times New Roman" w:eastAsia="仿宋_GB2312" w:cs="Times New Roman"/>
          <w:sz w:val="32"/>
          <w:szCs w:val="32"/>
        </w:rPr>
        <w:t>资料原件；不得将项目转包或分包。</w:t>
      </w:r>
    </w:p>
    <w:p w14:paraId="17D3DC9B">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四、服务成果与验收标准</w:t>
      </w:r>
    </w:p>
    <w:p w14:paraId="3C5DA5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eastAsia" w:ascii="仿宋" w:hAnsi="仿宋" w:eastAsia="仿宋" w:cs="仿宋"/>
          <w:b w:val="0"/>
          <w:bCs/>
          <w:sz w:val="32"/>
          <w:szCs w:val="32"/>
          <w:lang w:val="en-US" w:eastAsia="zh-CN"/>
        </w:rPr>
        <w:t>1.</w:t>
      </w:r>
      <w:r>
        <w:rPr>
          <w:rFonts w:hint="eastAsia" w:ascii="仿宋" w:hAnsi="仿宋" w:eastAsia="仿宋" w:cs="仿宋"/>
          <w:b w:val="0"/>
          <w:bCs/>
          <w:sz w:val="32"/>
          <w:szCs w:val="32"/>
          <w:lang w:eastAsia="zh-CN"/>
        </w:rPr>
        <w:t>服务</w:t>
      </w:r>
      <w:r>
        <w:rPr>
          <w:rFonts w:hint="eastAsia" w:ascii="仿宋" w:hAnsi="仿宋" w:eastAsia="仿宋" w:cs="仿宋"/>
          <w:b w:val="0"/>
          <w:bCs/>
          <w:sz w:val="32"/>
          <w:szCs w:val="32"/>
        </w:rPr>
        <w:t>成果</w:t>
      </w:r>
      <w:r>
        <w:rPr>
          <w:rFonts w:hint="eastAsia" w:ascii="仿宋" w:hAnsi="仿宋" w:eastAsia="仿宋" w:cs="仿宋"/>
          <w:b w:val="0"/>
          <w:bCs/>
          <w:sz w:val="32"/>
          <w:szCs w:val="32"/>
          <w:lang w:eastAsia="zh-CN"/>
        </w:rPr>
        <w:t>：</w:t>
      </w:r>
      <w:r>
        <w:rPr>
          <w:rFonts w:hint="eastAsia" w:ascii="仿宋" w:hAnsi="仿宋" w:eastAsia="仿宋" w:cs="仿宋"/>
          <w:b/>
          <w:sz w:val="32"/>
          <w:szCs w:val="32"/>
          <w:lang w:eastAsia="zh-CN"/>
        </w:rPr>
        <w:t>按</w:t>
      </w:r>
      <w:r>
        <w:rPr>
          <w:rFonts w:hint="default" w:ascii="Times New Roman" w:hAnsi="Times New Roman" w:eastAsia="仿宋_GB2312" w:cs="Times New Roman"/>
          <w:sz w:val="32"/>
          <w:szCs w:val="32"/>
        </w:rPr>
        <w:t>成果交付要求</w:t>
      </w:r>
      <w:r>
        <w:rPr>
          <w:rFonts w:hint="eastAsia" w:ascii="Times New Roman" w:hAnsi="Times New Roman" w:eastAsia="仿宋_GB2312" w:cs="Times New Roman"/>
          <w:sz w:val="32"/>
          <w:szCs w:val="32"/>
          <w:lang w:eastAsia="zh-CN"/>
        </w:rPr>
        <w:t>提供对应的服务成果材料。</w:t>
      </w:r>
    </w:p>
    <w:p w14:paraId="6F7539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themeColor="text1"/>
          <w:sz w:val="32"/>
          <w:szCs w:val="32"/>
          <w:highlight w:val="none"/>
          <w14:textFill>
            <w14:solidFill>
              <w14:schemeClr w14:val="tx1"/>
            </w14:solidFill>
          </w14:textFill>
        </w:rPr>
      </w:pP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2.</w:t>
      </w:r>
      <w:r>
        <w:rPr>
          <w:rFonts w:hint="default" w:ascii="Times New Roman" w:hAnsi="Times New Roman" w:eastAsia="仿宋_GB2312" w:cs="Times New Roman"/>
          <w:color w:val="000000" w:themeColor="text1"/>
          <w:sz w:val="32"/>
          <w:szCs w:val="32"/>
          <w:highlight w:val="none"/>
          <w14:textFill>
            <w14:solidFill>
              <w14:schemeClr w14:val="tx1"/>
            </w14:solidFill>
          </w14:textFill>
        </w:rPr>
        <w:t>验收标准</w:t>
      </w:r>
    </w:p>
    <w:p w14:paraId="63DC51A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完整性：报告涵盖全部约定服务范围，附件材料齐全，问题梳理无重大遗漏。</w:t>
      </w:r>
    </w:p>
    <w:p w14:paraId="27E9DF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themeColor="text1"/>
          <w:sz w:val="32"/>
          <w:szCs w:val="32"/>
          <w14:textFill>
            <w14:solidFill>
              <w14:schemeClr w14:val="tx1"/>
            </w14:solidFill>
          </w14:textFill>
        </w:rPr>
      </w:pPr>
      <w:r>
        <w:rPr>
          <w:rFonts w:hint="default" w:ascii="Times New Roman" w:hAnsi="Times New Roman" w:eastAsia="仿宋_GB2312" w:cs="Times New Roman"/>
          <w:color w:val="000000" w:themeColor="text1"/>
          <w:sz w:val="32"/>
          <w:szCs w:val="32"/>
          <w14:textFill>
            <w14:solidFill>
              <w14:schemeClr w14:val="tx1"/>
            </w14:solidFill>
          </w14:textFill>
        </w:rPr>
        <w:t>准确性：</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缺陷</w:t>
      </w:r>
      <w:r>
        <w:rPr>
          <w:rFonts w:hint="default" w:ascii="Times New Roman" w:hAnsi="Times New Roman" w:eastAsia="仿宋_GB2312" w:cs="Times New Roman"/>
          <w:color w:val="000000" w:themeColor="text1"/>
          <w:sz w:val="32"/>
          <w:szCs w:val="32"/>
          <w14:textFill>
            <w14:solidFill>
              <w14:schemeClr w14:val="tx1"/>
            </w14:solidFill>
          </w14:textFill>
        </w:rPr>
        <w:t>问题准确，整改建议具有针对性与可操作性。</w:t>
      </w:r>
    </w:p>
    <w:p w14:paraId="3AE9C6D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合规性：报告格式规范，表述清晰，结论明确，符合相关法律法规及行业标准。</w:t>
      </w:r>
    </w:p>
    <w:p w14:paraId="6AB73C8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及时性：按约定时间提交全部成果文件，后续服务响应及时。</w:t>
      </w:r>
    </w:p>
    <w:p w14:paraId="4D803547">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五、其他事项</w:t>
      </w:r>
    </w:p>
    <w:p w14:paraId="7BC9BEE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b/>
          <w:bCs/>
          <w:sz w:val="32"/>
          <w:szCs w:val="32"/>
        </w:rPr>
      </w:pPr>
      <w:r>
        <w:rPr>
          <w:rFonts w:hint="eastAsia" w:ascii="楷体" w:hAnsi="楷体" w:eastAsia="楷体" w:cs="楷体"/>
          <w:b/>
          <w:bCs/>
          <w:sz w:val="32"/>
          <w:szCs w:val="32"/>
        </w:rPr>
        <w:t>（一）资料提供</w:t>
      </w:r>
    </w:p>
    <w:p w14:paraId="09CA93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医院将指定专人配合工作，</w:t>
      </w:r>
      <w:r>
        <w:rPr>
          <w:rFonts w:hint="eastAsia" w:ascii="Times New Roman" w:hAnsi="Times New Roman" w:eastAsia="仿宋_GB2312" w:cs="Times New Roman"/>
          <w:sz w:val="32"/>
          <w:szCs w:val="32"/>
          <w:lang w:eastAsia="zh-CN"/>
        </w:rPr>
        <w:t>由各方块的负责人</w:t>
      </w:r>
      <w:r>
        <w:rPr>
          <w:rFonts w:hint="default" w:ascii="Times New Roman" w:hAnsi="Times New Roman" w:eastAsia="仿宋_GB2312" w:cs="Times New Roman"/>
          <w:sz w:val="32"/>
          <w:szCs w:val="32"/>
        </w:rPr>
        <w:t>及时提供</w:t>
      </w:r>
      <w:r>
        <w:rPr>
          <w:rFonts w:hint="eastAsia" w:ascii="Times New Roman" w:hAnsi="Times New Roman" w:eastAsia="仿宋_GB2312" w:cs="Times New Roman"/>
          <w:sz w:val="32"/>
          <w:szCs w:val="32"/>
          <w:lang w:eastAsia="zh-CN"/>
        </w:rPr>
        <w:t>内控评价工作所需的</w:t>
      </w:r>
      <w:r>
        <w:rPr>
          <w:rFonts w:hint="default" w:ascii="Times New Roman" w:hAnsi="Times New Roman" w:eastAsia="仿宋_GB2312" w:cs="Times New Roman"/>
          <w:sz w:val="32"/>
          <w:szCs w:val="32"/>
        </w:rPr>
        <w:t>相关</w:t>
      </w:r>
      <w:r>
        <w:rPr>
          <w:rFonts w:hint="eastAsia" w:ascii="Times New Roman" w:hAnsi="Times New Roman" w:eastAsia="仿宋_GB2312" w:cs="Times New Roman"/>
          <w:sz w:val="32"/>
          <w:szCs w:val="32"/>
          <w:lang w:eastAsia="zh-CN"/>
        </w:rPr>
        <w:t>台账</w:t>
      </w:r>
      <w:r>
        <w:rPr>
          <w:rFonts w:hint="default" w:ascii="Times New Roman" w:hAnsi="Times New Roman" w:eastAsia="仿宋_GB2312" w:cs="Times New Roman"/>
          <w:sz w:val="32"/>
          <w:szCs w:val="32"/>
        </w:rPr>
        <w:t>资料，并对资料的真实性、完整性负责。</w:t>
      </w:r>
    </w:p>
    <w:p w14:paraId="5DFBF87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楷体" w:hAnsi="楷体" w:eastAsia="楷体" w:cs="楷体"/>
          <w:b/>
          <w:bCs/>
          <w:sz w:val="32"/>
          <w:szCs w:val="32"/>
        </w:rPr>
      </w:pPr>
      <w:r>
        <w:rPr>
          <w:rFonts w:hint="eastAsia" w:ascii="楷体" w:hAnsi="楷体" w:eastAsia="楷体" w:cs="楷体"/>
          <w:b/>
          <w:bCs/>
          <w:sz w:val="32"/>
          <w:szCs w:val="32"/>
        </w:rPr>
        <w:t>（二）沟通机制</w:t>
      </w:r>
    </w:p>
    <w:p w14:paraId="70B60A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rPr>
        <w:t>项目实施期间，项目负责人需</w:t>
      </w:r>
      <w:r>
        <w:rPr>
          <w:rFonts w:hint="eastAsia" w:ascii="Times New Roman" w:hAnsi="Times New Roman" w:eastAsia="仿宋_GB2312" w:cs="Times New Roman"/>
          <w:sz w:val="32"/>
          <w:szCs w:val="32"/>
          <w:lang w:eastAsia="zh-CN"/>
        </w:rPr>
        <w:t>实时</w:t>
      </w:r>
      <w:r>
        <w:rPr>
          <w:rFonts w:hint="default" w:ascii="Times New Roman" w:hAnsi="Times New Roman" w:eastAsia="仿宋_GB2312" w:cs="Times New Roman"/>
          <w:sz w:val="32"/>
          <w:szCs w:val="32"/>
        </w:rPr>
        <w:t>与</w:t>
      </w:r>
      <w:r>
        <w:rPr>
          <w:rFonts w:hint="eastAsia" w:ascii="Times New Roman" w:hAnsi="Times New Roman" w:eastAsia="仿宋_GB2312" w:cs="Times New Roman"/>
          <w:sz w:val="32"/>
          <w:szCs w:val="32"/>
          <w:lang w:eastAsia="zh-CN"/>
        </w:rPr>
        <w:t>内控评价的牵头部门</w:t>
      </w:r>
      <w:r>
        <w:rPr>
          <w:rFonts w:hint="default" w:ascii="Times New Roman" w:hAnsi="Times New Roman" w:eastAsia="仿宋_GB2312" w:cs="Times New Roman"/>
          <w:sz w:val="32"/>
          <w:szCs w:val="32"/>
        </w:rPr>
        <w:t>沟通</w:t>
      </w:r>
      <w:r>
        <w:rPr>
          <w:rFonts w:hint="default" w:ascii="Times New Roman" w:hAnsi="Times New Roman" w:eastAsia="仿宋_GB2312" w:cs="Times New Roman"/>
          <w:sz w:val="32"/>
          <w:szCs w:val="32"/>
          <w:lang w:val="en-US" w:eastAsia="zh-CN"/>
        </w:rPr>
        <w:t>进度</w:t>
      </w:r>
      <w:r>
        <w:rPr>
          <w:rFonts w:hint="default" w:ascii="Times New Roman" w:hAnsi="Times New Roman" w:eastAsia="仿宋_GB2312" w:cs="Times New Roman"/>
          <w:sz w:val="32"/>
          <w:szCs w:val="32"/>
        </w:rPr>
        <w:t>，汇报工作进展、反馈发现问题，协商解决工作难点。</w:t>
      </w:r>
    </w:p>
    <w:sectPr>
      <w:footerReference r:id="rId3" w:type="default"/>
      <w:pgSz w:w="11906" w:h="16838"/>
      <w:pgMar w:top="1440" w:right="1474" w:bottom="1440"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EA2C4">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529B20">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0529B20">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283D44"/>
    <w:multiLevelType w:val="singleLevel"/>
    <w:tmpl w:val="14283D4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C548B2"/>
    <w:rsid w:val="00CD1788"/>
    <w:rsid w:val="00F211EF"/>
    <w:rsid w:val="027107B4"/>
    <w:rsid w:val="032B5893"/>
    <w:rsid w:val="03F029F6"/>
    <w:rsid w:val="04D81357"/>
    <w:rsid w:val="058F525E"/>
    <w:rsid w:val="05D90BCF"/>
    <w:rsid w:val="07424AEB"/>
    <w:rsid w:val="0B8D2240"/>
    <w:rsid w:val="0CDE6ACB"/>
    <w:rsid w:val="0D1F4158"/>
    <w:rsid w:val="0D63594E"/>
    <w:rsid w:val="0DF25CD8"/>
    <w:rsid w:val="0E3A41D5"/>
    <w:rsid w:val="0EC817E1"/>
    <w:rsid w:val="0F694D72"/>
    <w:rsid w:val="0FD04EBC"/>
    <w:rsid w:val="10196798"/>
    <w:rsid w:val="12706417"/>
    <w:rsid w:val="12D90460"/>
    <w:rsid w:val="136C2096"/>
    <w:rsid w:val="13855EF2"/>
    <w:rsid w:val="13873A19"/>
    <w:rsid w:val="138A617A"/>
    <w:rsid w:val="13D1738A"/>
    <w:rsid w:val="1481490C"/>
    <w:rsid w:val="14A8633C"/>
    <w:rsid w:val="16014ED0"/>
    <w:rsid w:val="172A3039"/>
    <w:rsid w:val="18271FA5"/>
    <w:rsid w:val="189D783A"/>
    <w:rsid w:val="19851100"/>
    <w:rsid w:val="19E020D4"/>
    <w:rsid w:val="1AC548B2"/>
    <w:rsid w:val="1B99078D"/>
    <w:rsid w:val="1BA01B1B"/>
    <w:rsid w:val="1BD23C9F"/>
    <w:rsid w:val="1CDA105D"/>
    <w:rsid w:val="1D5E1C8E"/>
    <w:rsid w:val="1E307F52"/>
    <w:rsid w:val="1E6E4153"/>
    <w:rsid w:val="206D3F96"/>
    <w:rsid w:val="20B35E4D"/>
    <w:rsid w:val="210C7C53"/>
    <w:rsid w:val="215018EE"/>
    <w:rsid w:val="221122BC"/>
    <w:rsid w:val="23A31DB5"/>
    <w:rsid w:val="23E10F23"/>
    <w:rsid w:val="253C0A50"/>
    <w:rsid w:val="254C7941"/>
    <w:rsid w:val="260F4BA1"/>
    <w:rsid w:val="27455C6D"/>
    <w:rsid w:val="29B6075C"/>
    <w:rsid w:val="29BF3AB4"/>
    <w:rsid w:val="2A53244F"/>
    <w:rsid w:val="2BEA0B91"/>
    <w:rsid w:val="2C385DA0"/>
    <w:rsid w:val="2CBF3DCB"/>
    <w:rsid w:val="2D393B7E"/>
    <w:rsid w:val="2DE25FC3"/>
    <w:rsid w:val="2DED6716"/>
    <w:rsid w:val="2E933762"/>
    <w:rsid w:val="2EA9088F"/>
    <w:rsid w:val="2F2A64B0"/>
    <w:rsid w:val="303F76FD"/>
    <w:rsid w:val="30B52679"/>
    <w:rsid w:val="30BC0D4E"/>
    <w:rsid w:val="31D125D7"/>
    <w:rsid w:val="3200110E"/>
    <w:rsid w:val="322F554F"/>
    <w:rsid w:val="32A221C5"/>
    <w:rsid w:val="34AE30A3"/>
    <w:rsid w:val="357111AD"/>
    <w:rsid w:val="36581519"/>
    <w:rsid w:val="366F6862"/>
    <w:rsid w:val="376B33F8"/>
    <w:rsid w:val="38B467AE"/>
    <w:rsid w:val="38CF2BC1"/>
    <w:rsid w:val="3AB17449"/>
    <w:rsid w:val="3B677B08"/>
    <w:rsid w:val="3C964B49"/>
    <w:rsid w:val="3FEC0F24"/>
    <w:rsid w:val="407779C8"/>
    <w:rsid w:val="409969B6"/>
    <w:rsid w:val="410302D3"/>
    <w:rsid w:val="414C1C7A"/>
    <w:rsid w:val="41931657"/>
    <w:rsid w:val="41F10FE6"/>
    <w:rsid w:val="420F2CA7"/>
    <w:rsid w:val="42A976B0"/>
    <w:rsid w:val="437E6337"/>
    <w:rsid w:val="44C164DB"/>
    <w:rsid w:val="45132AAF"/>
    <w:rsid w:val="45555209"/>
    <w:rsid w:val="45A007E6"/>
    <w:rsid w:val="45C5024D"/>
    <w:rsid w:val="45DE130F"/>
    <w:rsid w:val="46456C98"/>
    <w:rsid w:val="46B536DF"/>
    <w:rsid w:val="46FA3F26"/>
    <w:rsid w:val="471F1BDF"/>
    <w:rsid w:val="486C4F01"/>
    <w:rsid w:val="48B171B1"/>
    <w:rsid w:val="4A4C022A"/>
    <w:rsid w:val="4AA878DA"/>
    <w:rsid w:val="4AC07235"/>
    <w:rsid w:val="4B6B6B3E"/>
    <w:rsid w:val="4C207F8B"/>
    <w:rsid w:val="4CAE37E9"/>
    <w:rsid w:val="4CB44B77"/>
    <w:rsid w:val="4E2E44B5"/>
    <w:rsid w:val="4E30647F"/>
    <w:rsid w:val="4E680EE0"/>
    <w:rsid w:val="4F5A1A06"/>
    <w:rsid w:val="4FCE5F50"/>
    <w:rsid w:val="53746E0E"/>
    <w:rsid w:val="545F4C65"/>
    <w:rsid w:val="549F7EBB"/>
    <w:rsid w:val="5560066F"/>
    <w:rsid w:val="55B04321"/>
    <w:rsid w:val="56D227CA"/>
    <w:rsid w:val="57A10251"/>
    <w:rsid w:val="58F20F01"/>
    <w:rsid w:val="58F22CAF"/>
    <w:rsid w:val="59126EAD"/>
    <w:rsid w:val="5AF32D0E"/>
    <w:rsid w:val="5B991B08"/>
    <w:rsid w:val="5C050F4B"/>
    <w:rsid w:val="5C1D6295"/>
    <w:rsid w:val="5E6D6BDF"/>
    <w:rsid w:val="60C63D5E"/>
    <w:rsid w:val="60FF065F"/>
    <w:rsid w:val="61700C15"/>
    <w:rsid w:val="61CD250B"/>
    <w:rsid w:val="61EA4E6B"/>
    <w:rsid w:val="63B374DF"/>
    <w:rsid w:val="656B0071"/>
    <w:rsid w:val="65CB3050"/>
    <w:rsid w:val="65FA13F5"/>
    <w:rsid w:val="66236B9E"/>
    <w:rsid w:val="66594C23"/>
    <w:rsid w:val="666176C6"/>
    <w:rsid w:val="666F1DE3"/>
    <w:rsid w:val="674E02C7"/>
    <w:rsid w:val="68AB4C28"/>
    <w:rsid w:val="6B036F9E"/>
    <w:rsid w:val="6B106FC5"/>
    <w:rsid w:val="6B5F2C54"/>
    <w:rsid w:val="6BDD159D"/>
    <w:rsid w:val="6C2B70B3"/>
    <w:rsid w:val="6C7F4402"/>
    <w:rsid w:val="6D394EF9"/>
    <w:rsid w:val="72086C48"/>
    <w:rsid w:val="72734A09"/>
    <w:rsid w:val="72B03567"/>
    <w:rsid w:val="740B72E4"/>
    <w:rsid w:val="74645F02"/>
    <w:rsid w:val="746A1E3C"/>
    <w:rsid w:val="755723C0"/>
    <w:rsid w:val="75E11C8A"/>
    <w:rsid w:val="76F81981"/>
    <w:rsid w:val="77416599"/>
    <w:rsid w:val="7820118F"/>
    <w:rsid w:val="78DD0341"/>
    <w:rsid w:val="7B446F42"/>
    <w:rsid w:val="7EBB39C0"/>
    <w:rsid w:val="7F136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5">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toc 1"/>
    <w:basedOn w:val="1"/>
    <w:next w:val="1"/>
    <w:unhideWhenUsed/>
    <w:qFormat/>
    <w:uiPriority w:val="39"/>
  </w:style>
  <w:style w:type="paragraph" w:styleId="6">
    <w:name w:val="Body Text"/>
    <w:basedOn w:val="1"/>
    <w:qFormat/>
    <w:uiPriority w:val="1"/>
    <w:rPr>
      <w:rFonts w:ascii="宋体" w:hAnsi="宋体" w:eastAsia="宋体" w:cs="宋体"/>
      <w:sz w:val="28"/>
      <w:szCs w:val="28"/>
      <w:lang w:val="zh-CN" w:eastAsia="zh-CN" w:bidi="zh-CN"/>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2026</Words>
  <Characters>2067</Characters>
  <Lines>0</Lines>
  <Paragraphs>0</Paragraphs>
  <TotalTime>40</TotalTime>
  <ScaleCrop>false</ScaleCrop>
  <LinksUpToDate>false</LinksUpToDate>
  <CharactersWithSpaces>2270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2025-10-23T08:13:00Z</dcterms:created>
  <dc:creator>猫捡球</dc:creator>
  <cp:lastModifiedBy>静心</cp:lastModifiedBy>
  <cp:lastPrinted>2026-04-14T09:00:00Z</cp:lastPrinted>
  <dcterms:modified xsi:type="dcterms:W3CDTF">2026-04-14T09:08:58Z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0883D785DDEE45FC942DEDFD6CE59176_13</vt:lpwstr>
  </property>
  <property fmtid="{D5CDD505-2E9C-101B-9397-08002B2CF9AE}" pid="4" name="KSOTemplateDocerSaveRecord">
    <vt:lpwstr>eyJoZGlkIjoiOWIyNTdlYTY5YzUzODAyNDQ5MTZmMDQzOGM4NjFjMWQiLCJ1c2VySWQiOiI4OTc5NzIwMjEifQ==</vt:lpwstr>
  </property>
</Properties>
</file>