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167B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firstLine="0" w:firstLineChars="0"/>
        <w:jc w:val="left"/>
        <w:textAlignment w:val="auto"/>
        <w:rPr>
          <w:rFonts w:hint="eastAsia" w:ascii="方正小标宋简体" w:hAnsi="方正小标宋简体" w:eastAsia="方正小标宋简体" w:cs="方正小标宋简体"/>
          <w:b w:val="0"/>
          <w:bCs w:val="0"/>
          <w:i w:val="0"/>
          <w:iCs w:val="0"/>
          <w:caps w:val="0"/>
          <w:color w:val="auto"/>
          <w:spacing w:val="0"/>
          <w:kern w:val="0"/>
          <w:sz w:val="28"/>
          <w:szCs w:val="28"/>
          <w:highlight w:val="none"/>
          <w:lang w:val="en-US" w:eastAsia="zh-CN" w:bidi="ar"/>
        </w:rPr>
      </w:pPr>
      <w:bookmarkStart w:id="1" w:name="_GoBack"/>
      <w:bookmarkEnd w:id="1"/>
      <w:r>
        <w:rPr>
          <w:rFonts w:hint="eastAsia" w:ascii="方正小标宋简体" w:hAnsi="方正小标宋简体" w:eastAsia="方正小标宋简体" w:cs="方正小标宋简体"/>
          <w:b w:val="0"/>
          <w:bCs w:val="0"/>
          <w:i w:val="0"/>
          <w:iCs w:val="0"/>
          <w:caps w:val="0"/>
          <w:color w:val="auto"/>
          <w:spacing w:val="0"/>
          <w:kern w:val="0"/>
          <w:sz w:val="28"/>
          <w:szCs w:val="28"/>
          <w:highlight w:val="none"/>
          <w:lang w:val="en-US" w:eastAsia="zh-CN" w:bidi="ar"/>
        </w:rPr>
        <w:t>附件一：采购需求建议稿</w:t>
      </w:r>
    </w:p>
    <w:p w14:paraId="54514404">
      <w:pPr>
        <w:pStyle w:val="6"/>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eastAsia" w:ascii="仿宋_GB2312" w:hAnsi="仿宋_GB2312" w:eastAsia="仿宋_GB2312" w:cs="仿宋_GB2312"/>
          <w:b/>
          <w:bCs/>
          <w:color w:val="auto"/>
          <w:sz w:val="24"/>
          <w:szCs w:val="24"/>
          <w:highlight w:val="none"/>
          <w:lang w:val="en-US" w:eastAsia="zh-CN"/>
        </w:rPr>
      </w:pPr>
    </w:p>
    <w:p w14:paraId="36EB856B">
      <w:pPr>
        <w:pStyle w:val="6"/>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eastAsia" w:ascii="仿宋_GB2312" w:hAnsi="仿宋_GB2312" w:eastAsia="仿宋_GB2312" w:cs="仿宋_GB2312"/>
          <w:b/>
          <w:bCs/>
          <w:color w:val="auto"/>
          <w:sz w:val="24"/>
          <w:szCs w:val="24"/>
          <w:highlight w:val="none"/>
          <w:lang w:val="en-US" w:eastAsia="zh-CN"/>
        </w:rPr>
      </w:pPr>
    </w:p>
    <w:p w14:paraId="64E0DB27">
      <w:pPr>
        <w:pStyle w:val="6"/>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方正小标宋简体" w:hAnsi="方正小标宋简体" w:eastAsia="方正小标宋简体" w:cs="方正小标宋简体"/>
          <w:b w:val="0"/>
          <w:bCs w:val="0"/>
          <w:i w:val="0"/>
          <w:iCs w:val="0"/>
          <w:caps w:val="0"/>
          <w:color w:val="auto"/>
          <w:spacing w:val="0"/>
          <w:kern w:val="0"/>
          <w:sz w:val="32"/>
          <w:szCs w:val="32"/>
          <w:highlight w:val="none"/>
          <w:lang w:val="en-US" w:eastAsia="zh-CN" w:bidi="ar"/>
        </w:rPr>
      </w:pPr>
      <w:r>
        <w:rPr>
          <w:rFonts w:hint="eastAsia" w:ascii="方正小标宋简体" w:hAnsi="方正小标宋简体" w:eastAsia="方正小标宋简体" w:cs="方正小标宋简体"/>
          <w:b w:val="0"/>
          <w:bCs w:val="0"/>
          <w:i w:val="0"/>
          <w:iCs w:val="0"/>
          <w:caps w:val="0"/>
          <w:color w:val="auto"/>
          <w:spacing w:val="0"/>
          <w:kern w:val="0"/>
          <w:sz w:val="44"/>
          <w:szCs w:val="44"/>
          <w:highlight w:val="none"/>
          <w:lang w:val="en-US" w:eastAsia="zh-CN" w:bidi="ar"/>
        </w:rPr>
        <w:t>采购需求建议稿</w:t>
      </w:r>
    </w:p>
    <w:p w14:paraId="75BD8715">
      <w:pPr>
        <w:pStyle w:val="6"/>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ind w:left="0" w:right="0" w:firstLine="482" w:firstLineChars="200"/>
        <w:jc w:val="both"/>
        <w:textAlignment w:val="auto"/>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说明：“▲”为实质性条款，不满足即按无效响应处理。</w:t>
      </w:r>
    </w:p>
    <w:tbl>
      <w:tblPr>
        <w:tblStyle w:val="7"/>
        <w:tblpPr w:leftFromText="180" w:rightFromText="180" w:vertAnchor="text" w:tblpXSpec="left" w:tblpY="1"/>
        <w:tblOverlap w:val="never"/>
        <w:tblW w:w="51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7"/>
        <w:gridCol w:w="868"/>
        <w:gridCol w:w="129"/>
        <w:gridCol w:w="739"/>
        <w:gridCol w:w="6416"/>
      </w:tblGrid>
      <w:tr w14:paraId="461C1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711" w:type="dxa"/>
            <w:gridSpan w:val="5"/>
            <w:tcBorders>
              <w:top w:val="single" w:color="000000" w:sz="4" w:space="0"/>
              <w:left w:val="single" w:color="000000" w:sz="4" w:space="0"/>
              <w:bottom w:val="single" w:color="000000" w:sz="4" w:space="0"/>
              <w:right w:val="single" w:color="000000" w:sz="4" w:space="0"/>
            </w:tcBorders>
            <w:vAlign w:val="center"/>
          </w:tcPr>
          <w:p w14:paraId="5EFBCAF2">
            <w:pPr>
              <w:wordWrap w:val="0"/>
              <w:spacing w:line="360" w:lineRule="auto"/>
              <w:jc w:val="lef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一、技术要求</w:t>
            </w:r>
          </w:p>
        </w:tc>
      </w:tr>
      <w:tr w14:paraId="1CD22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1450C">
            <w:pPr>
              <w:wordWrap w:val="0"/>
              <w:spacing w:line="360" w:lineRule="auto"/>
              <w:jc w:val="center"/>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项号</w:t>
            </w:r>
          </w:p>
        </w:tc>
        <w:tc>
          <w:tcPr>
            <w:tcW w:w="9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127863">
            <w:pPr>
              <w:wordWrap w:val="0"/>
              <w:spacing w:line="360" w:lineRule="auto"/>
              <w:jc w:val="center"/>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val="en-US" w:eastAsia="zh-CN"/>
              </w:rPr>
              <w:t>标的</w:t>
            </w:r>
            <w:r>
              <w:rPr>
                <w:rFonts w:hint="eastAsia" w:ascii="仿宋_GB2312" w:hAnsi="仿宋_GB2312" w:eastAsia="仿宋_GB2312" w:cs="仿宋_GB2312"/>
                <w:b/>
                <w:bCs/>
                <w:color w:val="auto"/>
                <w:sz w:val="24"/>
                <w:szCs w:val="24"/>
                <w:highlight w:val="none"/>
              </w:rPr>
              <w:t>名称</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BEFDF">
            <w:pPr>
              <w:wordWrap w:val="0"/>
              <w:spacing w:line="360" w:lineRule="auto"/>
              <w:jc w:val="center"/>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数量</w:t>
            </w:r>
          </w:p>
        </w:tc>
        <w:tc>
          <w:tcPr>
            <w:tcW w:w="6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761EF">
            <w:pPr>
              <w:wordWrap w:val="0"/>
              <w:spacing w:line="360" w:lineRule="auto"/>
              <w:jc w:val="center"/>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b/>
                <w:bCs/>
                <w:color w:val="auto"/>
                <w:sz w:val="24"/>
                <w:szCs w:val="24"/>
                <w:highlight w:val="none"/>
              </w:rPr>
              <w:t>项目需求及服务要求</w:t>
            </w:r>
          </w:p>
        </w:tc>
      </w:tr>
      <w:tr w14:paraId="14A3D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57" w:type="dxa"/>
            <w:tcBorders>
              <w:top w:val="single" w:color="000000" w:sz="4" w:space="0"/>
              <w:left w:val="single" w:color="000000" w:sz="4" w:space="0"/>
              <w:bottom w:val="single" w:color="000000" w:sz="4" w:space="0"/>
              <w:right w:val="single" w:color="000000" w:sz="4" w:space="0"/>
            </w:tcBorders>
            <w:vAlign w:val="center"/>
          </w:tcPr>
          <w:p w14:paraId="483F5913">
            <w:pPr>
              <w:wordWrap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997" w:type="dxa"/>
            <w:gridSpan w:val="2"/>
            <w:tcBorders>
              <w:top w:val="single" w:color="000000" w:sz="4" w:space="0"/>
              <w:left w:val="single" w:color="000000" w:sz="4" w:space="0"/>
              <w:bottom w:val="single" w:color="000000" w:sz="4" w:space="0"/>
              <w:right w:val="single" w:color="000000" w:sz="4" w:space="0"/>
            </w:tcBorders>
            <w:vAlign w:val="center"/>
          </w:tcPr>
          <w:p w14:paraId="63758DBE">
            <w:pPr>
              <w:wordWrap w:val="0"/>
              <w:spacing w:line="360" w:lineRule="auto"/>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苍梧县沙头镇、六堡镇污水处理厂委托运营服务项目</w:t>
            </w:r>
          </w:p>
        </w:tc>
        <w:tc>
          <w:tcPr>
            <w:tcW w:w="739" w:type="dxa"/>
            <w:tcBorders>
              <w:top w:val="single" w:color="000000" w:sz="4" w:space="0"/>
              <w:left w:val="single" w:color="000000" w:sz="4" w:space="0"/>
              <w:bottom w:val="single" w:color="000000" w:sz="4" w:space="0"/>
              <w:right w:val="single" w:color="000000" w:sz="4" w:space="0"/>
            </w:tcBorders>
            <w:vAlign w:val="center"/>
          </w:tcPr>
          <w:p w14:paraId="7F31E34C">
            <w:pPr>
              <w:wordWrap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1项</w:t>
            </w:r>
          </w:p>
        </w:tc>
        <w:tc>
          <w:tcPr>
            <w:tcW w:w="6418" w:type="dxa"/>
            <w:tcBorders>
              <w:top w:val="single" w:color="000000" w:sz="4" w:space="0"/>
              <w:left w:val="single" w:color="000000" w:sz="4" w:space="0"/>
              <w:bottom w:val="single" w:color="000000" w:sz="4" w:space="0"/>
              <w:right w:val="single" w:color="000000" w:sz="4" w:space="0"/>
            </w:tcBorders>
            <w:vAlign w:val="center"/>
          </w:tcPr>
          <w:p w14:paraId="286A53DC">
            <w:pPr>
              <w:wordWrap w:val="0"/>
              <w:spacing w:line="360" w:lineRule="auto"/>
              <w:ind w:firstLine="482" w:firstLineChars="200"/>
              <w:rPr>
                <w:rFonts w:hint="eastAsia" w:ascii="仿宋_GB2312" w:hAnsi="仿宋_GB2312" w:eastAsia="仿宋_GB2312" w:cs="仿宋_GB2312"/>
                <w:b/>
                <w:color w:val="auto"/>
                <w:kern w:val="0"/>
                <w:sz w:val="24"/>
                <w:szCs w:val="24"/>
                <w:highlight w:val="none"/>
              </w:rPr>
            </w:pPr>
            <w:r>
              <w:rPr>
                <w:rFonts w:hint="eastAsia" w:ascii="仿宋_GB2312" w:hAnsi="仿宋_GB2312" w:eastAsia="仿宋_GB2312" w:cs="仿宋_GB2312"/>
                <w:b/>
                <w:color w:val="auto"/>
                <w:kern w:val="0"/>
                <w:sz w:val="24"/>
                <w:szCs w:val="24"/>
                <w:highlight w:val="none"/>
                <w:lang w:val="en-US" w:eastAsia="zh-CN"/>
              </w:rPr>
              <w:t>一、</w:t>
            </w:r>
            <w:r>
              <w:rPr>
                <w:rFonts w:hint="eastAsia" w:ascii="仿宋_GB2312" w:hAnsi="仿宋_GB2312" w:eastAsia="仿宋_GB2312" w:cs="仿宋_GB2312"/>
                <w:b/>
                <w:color w:val="auto"/>
                <w:kern w:val="0"/>
                <w:sz w:val="24"/>
                <w:szCs w:val="24"/>
                <w:highlight w:val="none"/>
              </w:rPr>
              <w:t>项目基本情况</w:t>
            </w:r>
          </w:p>
          <w:p w14:paraId="35C75454">
            <w:pPr>
              <w:widowControl/>
              <w:wordWrap w:val="0"/>
              <w:autoSpaceDE/>
              <w:autoSpaceDN/>
              <w:adjustRightInd/>
              <w:snapToGrid/>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sz w:val="24"/>
                <w:szCs w:val="24"/>
                <w:highlight w:val="none"/>
                <w:lang w:val="en-US" w:eastAsia="zh-CN"/>
              </w:rPr>
              <w:t>对</w:t>
            </w:r>
            <w:r>
              <w:rPr>
                <w:rFonts w:hint="eastAsia" w:ascii="仿宋_GB2312" w:hAnsi="仿宋_GB2312" w:eastAsia="仿宋_GB2312" w:cs="仿宋_GB2312"/>
                <w:color w:val="auto"/>
                <w:sz w:val="24"/>
                <w:szCs w:val="24"/>
                <w:highlight w:val="none"/>
                <w:lang w:eastAsia="zh-CN"/>
              </w:rPr>
              <w:t>苍梧县沙头镇、六堡镇污水处理厂</w:t>
            </w:r>
            <w:r>
              <w:rPr>
                <w:rFonts w:hint="eastAsia" w:ascii="仿宋_GB2312" w:hAnsi="仿宋_GB2312" w:eastAsia="仿宋_GB2312" w:cs="仿宋_GB2312"/>
                <w:color w:val="auto"/>
                <w:sz w:val="24"/>
                <w:szCs w:val="24"/>
                <w:highlight w:val="none"/>
                <w:lang w:val="en-US" w:eastAsia="zh-CN"/>
              </w:rPr>
              <w:t>共2座进行运营维护服务</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要求</w:t>
            </w:r>
            <w:r>
              <w:rPr>
                <w:rFonts w:hint="eastAsia" w:ascii="仿宋_GB2312" w:hAnsi="仿宋_GB2312" w:eastAsia="仿宋_GB2312" w:cs="仿宋_GB2312"/>
                <w:color w:val="auto"/>
                <w:spacing w:val="4"/>
                <w:sz w:val="24"/>
                <w:szCs w:val="24"/>
                <w:highlight w:val="none"/>
              </w:rPr>
              <w:t>污水经过处理后，出水水质达到《城镇污水</w:t>
            </w:r>
            <w:r>
              <w:rPr>
                <w:rFonts w:hint="eastAsia" w:ascii="仿宋_GB2312" w:hAnsi="仿宋_GB2312" w:eastAsia="仿宋_GB2312" w:cs="仿宋_GB2312"/>
                <w:color w:val="auto"/>
                <w:spacing w:val="3"/>
                <w:sz w:val="24"/>
                <w:szCs w:val="24"/>
                <w:highlight w:val="none"/>
              </w:rPr>
              <w:t>处理厂污染物排放标准》</w:t>
            </w:r>
            <w:r>
              <w:rPr>
                <w:rFonts w:hint="eastAsia" w:ascii="仿宋_GB2312" w:hAnsi="仿宋_GB2312" w:eastAsia="仿宋_GB2312" w:cs="仿宋_GB2312"/>
                <w:color w:val="auto"/>
                <w:spacing w:val="3"/>
                <w:sz w:val="24"/>
                <w:szCs w:val="24"/>
                <w:highlight w:val="none"/>
                <w:lang w:eastAsia="zh-CN"/>
              </w:rPr>
              <w:t>（</w:t>
            </w:r>
            <w:r>
              <w:rPr>
                <w:rFonts w:hint="eastAsia" w:ascii="仿宋_GB2312" w:hAnsi="仿宋_GB2312" w:eastAsia="仿宋_GB2312" w:cs="仿宋_GB2312"/>
                <w:color w:val="auto"/>
                <w:sz w:val="24"/>
                <w:szCs w:val="24"/>
                <w:highlight w:val="none"/>
              </w:rPr>
              <w:t>GB</w:t>
            </w:r>
            <w:r>
              <w:rPr>
                <w:rFonts w:hint="eastAsia" w:ascii="仿宋_GB2312" w:hAnsi="仿宋_GB2312" w:eastAsia="仿宋_GB2312" w:cs="仿宋_GB2312"/>
                <w:color w:val="auto"/>
                <w:spacing w:val="3"/>
                <w:sz w:val="24"/>
                <w:szCs w:val="24"/>
                <w:highlight w:val="none"/>
              </w:rPr>
              <w:t>18918-2002</w:t>
            </w:r>
            <w:r>
              <w:rPr>
                <w:rFonts w:hint="eastAsia" w:ascii="仿宋_GB2312" w:hAnsi="仿宋_GB2312" w:eastAsia="仿宋_GB2312" w:cs="仿宋_GB2312"/>
                <w:color w:val="auto"/>
                <w:spacing w:val="3"/>
                <w:sz w:val="24"/>
                <w:szCs w:val="24"/>
                <w:highlight w:val="none"/>
                <w:lang w:eastAsia="zh-CN"/>
              </w:rPr>
              <w:t>）</w:t>
            </w:r>
            <w:r>
              <w:rPr>
                <w:rFonts w:hint="eastAsia" w:ascii="仿宋_GB2312" w:hAnsi="仿宋_GB2312" w:eastAsia="仿宋_GB2312" w:cs="仿宋_GB2312"/>
                <w:color w:val="auto"/>
                <w:spacing w:val="3"/>
                <w:sz w:val="24"/>
                <w:szCs w:val="24"/>
                <w:highlight w:val="none"/>
              </w:rPr>
              <w:t>一级</w:t>
            </w:r>
            <w:r>
              <w:rPr>
                <w:rFonts w:hint="eastAsia" w:ascii="仿宋_GB2312" w:hAnsi="仿宋_GB2312" w:eastAsia="仿宋_GB2312" w:cs="仿宋_GB2312"/>
                <w:color w:val="auto"/>
                <w:spacing w:val="-42"/>
                <w:sz w:val="24"/>
                <w:szCs w:val="24"/>
                <w:highlight w:val="none"/>
              </w:rPr>
              <w:t xml:space="preserve"> </w:t>
            </w:r>
            <w:r>
              <w:rPr>
                <w:rFonts w:hint="eastAsia" w:ascii="仿宋_GB2312" w:hAnsi="仿宋_GB2312" w:eastAsia="仿宋_GB2312" w:cs="仿宋_GB2312"/>
                <w:color w:val="auto"/>
                <w:spacing w:val="3"/>
                <w:sz w:val="24"/>
                <w:szCs w:val="24"/>
                <w:highlight w:val="none"/>
              </w:rPr>
              <w:t>B</w:t>
            </w:r>
            <w:r>
              <w:rPr>
                <w:rFonts w:hint="eastAsia" w:ascii="仿宋_GB2312" w:hAnsi="仿宋_GB2312" w:eastAsia="仿宋_GB2312" w:cs="仿宋_GB2312"/>
                <w:color w:val="auto"/>
                <w:spacing w:val="-37"/>
                <w:sz w:val="24"/>
                <w:szCs w:val="24"/>
                <w:highlight w:val="none"/>
              </w:rPr>
              <w:t xml:space="preserve"> </w:t>
            </w:r>
            <w:r>
              <w:rPr>
                <w:rFonts w:hint="eastAsia" w:ascii="仿宋_GB2312" w:hAnsi="仿宋_GB2312" w:eastAsia="仿宋_GB2312" w:cs="仿宋_GB2312"/>
                <w:color w:val="auto"/>
                <w:spacing w:val="3"/>
                <w:sz w:val="24"/>
                <w:szCs w:val="24"/>
                <w:highlight w:val="none"/>
              </w:rPr>
              <w:t>标准，</w:t>
            </w:r>
            <w:r>
              <w:rPr>
                <w:rFonts w:hint="eastAsia" w:ascii="仿宋_GB2312" w:hAnsi="仿宋_GB2312" w:eastAsia="仿宋_GB2312" w:cs="仿宋_GB2312"/>
                <w:color w:val="auto"/>
                <w:spacing w:val="9"/>
                <w:sz w:val="24"/>
                <w:szCs w:val="24"/>
                <w:highlight w:val="none"/>
              </w:rPr>
              <w:t>污泥经过浓缩脱水含水率小于</w:t>
            </w:r>
            <w:r>
              <w:rPr>
                <w:rFonts w:hint="eastAsia" w:ascii="仿宋_GB2312" w:hAnsi="仿宋_GB2312" w:eastAsia="仿宋_GB2312" w:cs="仿宋_GB2312"/>
                <w:color w:val="auto"/>
                <w:spacing w:val="-38"/>
                <w:sz w:val="24"/>
                <w:szCs w:val="24"/>
                <w:highlight w:val="none"/>
              </w:rPr>
              <w:t xml:space="preserve"> </w:t>
            </w:r>
            <w:r>
              <w:rPr>
                <w:rFonts w:hint="eastAsia" w:ascii="仿宋_GB2312" w:hAnsi="仿宋_GB2312" w:eastAsia="仿宋_GB2312" w:cs="仿宋_GB2312"/>
                <w:color w:val="auto"/>
                <w:spacing w:val="9"/>
                <w:sz w:val="24"/>
                <w:szCs w:val="24"/>
                <w:highlight w:val="none"/>
              </w:rPr>
              <w:t>80%后进行无害化处置</w:t>
            </w:r>
            <w:r>
              <w:rPr>
                <w:rFonts w:hint="eastAsia" w:ascii="仿宋_GB2312" w:hAnsi="仿宋_GB2312" w:eastAsia="仿宋_GB2312" w:cs="仿宋_GB2312"/>
                <w:color w:val="auto"/>
                <w:spacing w:val="8"/>
                <w:sz w:val="24"/>
                <w:szCs w:val="24"/>
                <w:highlight w:val="none"/>
              </w:rPr>
              <w:t>。</w:t>
            </w:r>
          </w:p>
          <w:p w14:paraId="19E5D3C4">
            <w:pPr>
              <w:widowControl/>
              <w:wordWrap w:val="0"/>
              <w:autoSpaceDE/>
              <w:autoSpaceDN/>
              <w:adjustRightInd/>
              <w:snapToGrid/>
              <w:spacing w:line="360" w:lineRule="auto"/>
              <w:ind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苍梧县</w:t>
            </w:r>
            <w:r>
              <w:rPr>
                <w:rFonts w:hint="eastAsia" w:ascii="仿宋_GB2312" w:hAnsi="仿宋_GB2312" w:eastAsia="仿宋_GB2312" w:cs="仿宋_GB2312"/>
                <w:color w:val="auto"/>
                <w:sz w:val="24"/>
                <w:szCs w:val="24"/>
                <w:highlight w:val="none"/>
                <w:lang w:eastAsia="zh-CN"/>
              </w:rPr>
              <w:t>沙头镇污水处理厂</w:t>
            </w:r>
            <w:r>
              <w:rPr>
                <w:rFonts w:hint="eastAsia" w:ascii="仿宋_GB2312" w:hAnsi="仿宋_GB2312" w:eastAsia="仿宋_GB2312" w:cs="仿宋_GB2312"/>
                <w:color w:val="auto"/>
                <w:sz w:val="24"/>
                <w:szCs w:val="24"/>
                <w:highlight w:val="none"/>
                <w:lang w:val="en-US" w:eastAsia="zh-CN"/>
              </w:rPr>
              <w:t>日处理量（1500m³/天），苍梧县</w:t>
            </w:r>
            <w:r>
              <w:rPr>
                <w:rFonts w:hint="eastAsia" w:ascii="仿宋_GB2312" w:hAnsi="仿宋_GB2312" w:eastAsia="仿宋_GB2312" w:cs="仿宋_GB2312"/>
                <w:color w:val="auto"/>
                <w:sz w:val="24"/>
                <w:szCs w:val="24"/>
                <w:highlight w:val="none"/>
                <w:lang w:eastAsia="zh-CN"/>
              </w:rPr>
              <w:t>六堡镇污水处理厂</w:t>
            </w:r>
            <w:r>
              <w:rPr>
                <w:rFonts w:hint="eastAsia" w:ascii="仿宋_GB2312" w:hAnsi="仿宋_GB2312" w:eastAsia="仿宋_GB2312" w:cs="仿宋_GB2312"/>
                <w:color w:val="auto"/>
                <w:sz w:val="24"/>
                <w:szCs w:val="24"/>
                <w:highlight w:val="none"/>
                <w:lang w:val="en-US" w:eastAsia="zh-CN"/>
              </w:rPr>
              <w:t>日处理量（1500m³/天）。</w:t>
            </w:r>
          </w:p>
          <w:p w14:paraId="04B527AA">
            <w:pPr>
              <w:wordWrap w:val="0"/>
              <w:spacing w:line="360" w:lineRule="auto"/>
              <w:ind w:firstLine="482" w:firstLineChars="200"/>
              <w:rPr>
                <w:rFonts w:hint="eastAsia" w:ascii="仿宋_GB2312" w:hAnsi="仿宋_GB2312" w:eastAsia="仿宋_GB2312" w:cs="仿宋_GB2312"/>
                <w:b/>
                <w:color w:val="auto"/>
                <w:kern w:val="0"/>
                <w:sz w:val="24"/>
                <w:szCs w:val="24"/>
                <w:highlight w:val="none"/>
              </w:rPr>
            </w:pPr>
            <w:r>
              <w:rPr>
                <w:rFonts w:hint="eastAsia" w:ascii="仿宋_GB2312" w:hAnsi="仿宋_GB2312" w:eastAsia="仿宋_GB2312" w:cs="仿宋_GB2312"/>
                <w:b/>
                <w:color w:val="auto"/>
                <w:kern w:val="0"/>
                <w:sz w:val="24"/>
                <w:szCs w:val="24"/>
                <w:highlight w:val="none"/>
                <w:lang w:val="en-US" w:eastAsia="zh-CN"/>
              </w:rPr>
              <w:t>二、</w:t>
            </w:r>
            <w:r>
              <w:rPr>
                <w:rFonts w:hint="eastAsia" w:ascii="仿宋_GB2312" w:hAnsi="仿宋_GB2312" w:eastAsia="仿宋_GB2312" w:cs="仿宋_GB2312"/>
                <w:b/>
                <w:color w:val="auto"/>
                <w:kern w:val="0"/>
                <w:sz w:val="24"/>
                <w:szCs w:val="24"/>
                <w:highlight w:val="none"/>
              </w:rPr>
              <w:t>工作内容</w:t>
            </w:r>
          </w:p>
          <w:p w14:paraId="3C2DB30C">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w:t>
            </w:r>
            <w:r>
              <w:rPr>
                <w:rFonts w:hint="eastAsia" w:ascii="仿宋_GB2312" w:hAnsi="仿宋_GB2312" w:eastAsia="仿宋_GB2312" w:cs="仿宋_GB2312"/>
                <w:color w:val="auto"/>
                <w:kern w:val="0"/>
                <w:sz w:val="24"/>
                <w:szCs w:val="24"/>
                <w:highlight w:val="none"/>
                <w:lang w:val="en-US" w:eastAsia="zh-CN"/>
              </w:rPr>
              <w:t>.主要包括但不限于污水处理厂设施的管理维护及正常运行，污水处理厂构筑物的管理维护、设备运行和维护（不含设备设施大修、重置）、电气自控运行和维护、污水处理厂进出水水质日常检测和第三方监测、在线监测设备运维</w:t>
            </w:r>
            <w:r>
              <w:rPr>
                <w:rFonts w:hint="eastAsia" w:ascii="仿宋_GB2312" w:hAnsi="仿宋_GB2312" w:eastAsia="仿宋_GB2312" w:cs="仿宋_GB2312"/>
                <w:color w:val="auto"/>
                <w:kern w:val="0"/>
                <w:sz w:val="24"/>
                <w:szCs w:val="24"/>
                <w:highlight w:val="none"/>
              </w:rPr>
              <w:t>。</w:t>
            </w:r>
          </w:p>
          <w:p w14:paraId="41F9D45D">
            <w:pPr>
              <w:wordWrap w:val="0"/>
              <w:spacing w:line="360" w:lineRule="auto"/>
              <w:ind w:firstLine="480" w:firstLineChars="200"/>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rPr>
              <w:t>2</w:t>
            </w:r>
            <w:r>
              <w:rPr>
                <w:rFonts w:hint="eastAsia" w:ascii="仿宋_GB2312" w:hAnsi="仿宋_GB2312" w:eastAsia="仿宋_GB2312" w:cs="仿宋_GB2312"/>
                <w:color w:val="auto"/>
                <w:kern w:val="0"/>
                <w:sz w:val="24"/>
                <w:szCs w:val="24"/>
                <w:highlight w:val="none"/>
                <w:lang w:val="en-US" w:eastAsia="zh-CN"/>
              </w:rPr>
              <w:t>.配套附属设施的工艺、设备、设施、安全、厂区绿化、现场卫生保洁等事项的运营维护，收集整理完整的工艺设施运行与维护台账，保证污水处理厂正常稳定运行。</w:t>
            </w:r>
          </w:p>
          <w:p w14:paraId="1B94072F">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3.</w:t>
            </w:r>
            <w:r>
              <w:rPr>
                <w:rFonts w:hint="eastAsia" w:ascii="仿宋_GB2312" w:hAnsi="仿宋_GB2312" w:eastAsia="仿宋_GB2312" w:cs="仿宋_GB2312"/>
                <w:color w:val="auto"/>
                <w:kern w:val="0"/>
                <w:sz w:val="24"/>
                <w:szCs w:val="24"/>
                <w:highlight w:val="none"/>
              </w:rPr>
              <w:t>派出技术人员派驻或者巡逻污水处理</w:t>
            </w:r>
            <w:r>
              <w:rPr>
                <w:rFonts w:hint="eastAsia" w:ascii="仿宋_GB2312" w:hAnsi="仿宋_GB2312" w:eastAsia="仿宋_GB2312" w:cs="仿宋_GB2312"/>
                <w:color w:val="auto"/>
                <w:kern w:val="0"/>
                <w:sz w:val="24"/>
                <w:szCs w:val="24"/>
                <w:highlight w:val="none"/>
                <w:lang w:val="en-US" w:eastAsia="zh-CN"/>
              </w:rPr>
              <w:t>厂</w:t>
            </w:r>
            <w:r>
              <w:rPr>
                <w:rFonts w:hint="eastAsia" w:ascii="仿宋_GB2312" w:hAnsi="仿宋_GB2312" w:eastAsia="仿宋_GB2312" w:cs="仿宋_GB2312"/>
                <w:color w:val="auto"/>
                <w:kern w:val="0"/>
                <w:sz w:val="24"/>
                <w:szCs w:val="24"/>
                <w:highlight w:val="none"/>
                <w:lang w:eastAsia="zh-CN"/>
              </w:rPr>
              <w:t>，</w:t>
            </w:r>
            <w:r>
              <w:rPr>
                <w:rFonts w:hint="eastAsia" w:ascii="仿宋_GB2312" w:hAnsi="仿宋_GB2312" w:eastAsia="仿宋_GB2312" w:cs="仿宋_GB2312"/>
                <w:color w:val="auto"/>
                <w:kern w:val="0"/>
                <w:sz w:val="24"/>
                <w:szCs w:val="24"/>
                <w:highlight w:val="none"/>
              </w:rPr>
              <w:t>配合各级政府相关部门检查。</w:t>
            </w:r>
          </w:p>
          <w:p w14:paraId="134D6FF6">
            <w:pPr>
              <w:wordWrap w:val="0"/>
              <w:spacing w:line="360" w:lineRule="auto"/>
              <w:ind w:firstLine="482" w:firstLineChars="200"/>
              <w:rPr>
                <w:rFonts w:hint="eastAsia" w:ascii="仿宋_GB2312" w:hAnsi="仿宋_GB2312" w:eastAsia="仿宋_GB2312" w:cs="仿宋_GB2312"/>
                <w:b/>
                <w:bCs/>
                <w:color w:val="auto"/>
                <w:kern w:val="0"/>
                <w:sz w:val="24"/>
                <w:szCs w:val="24"/>
                <w:highlight w:val="none"/>
              </w:rPr>
            </w:pPr>
            <w:r>
              <w:rPr>
                <w:rFonts w:hint="eastAsia" w:ascii="仿宋_GB2312" w:hAnsi="仿宋_GB2312" w:eastAsia="仿宋_GB2312" w:cs="仿宋_GB2312"/>
                <w:b/>
                <w:bCs/>
                <w:color w:val="auto"/>
                <w:kern w:val="0"/>
                <w:sz w:val="24"/>
                <w:szCs w:val="24"/>
                <w:highlight w:val="none"/>
                <w:lang w:val="en-US" w:eastAsia="zh-CN"/>
              </w:rPr>
              <w:t>三、运营水质达标</w:t>
            </w:r>
            <w:r>
              <w:rPr>
                <w:rFonts w:hint="eastAsia" w:ascii="仿宋_GB2312" w:hAnsi="仿宋_GB2312" w:eastAsia="仿宋_GB2312" w:cs="仿宋_GB2312"/>
                <w:b/>
                <w:bCs/>
                <w:color w:val="auto"/>
                <w:kern w:val="0"/>
                <w:sz w:val="24"/>
                <w:szCs w:val="24"/>
                <w:highlight w:val="none"/>
              </w:rPr>
              <w:t>要求</w:t>
            </w:r>
          </w:p>
          <w:p w14:paraId="0D9A5A92">
            <w:pPr>
              <w:wordWrap w:val="0"/>
              <w:spacing w:before="173" w:line="360" w:lineRule="auto"/>
              <w:ind w:left="0"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pacing w:val="11"/>
                <w:sz w:val="24"/>
                <w:szCs w:val="24"/>
                <w:highlight w:val="none"/>
              </w:rPr>
              <w:t>进水水质标准</w:t>
            </w:r>
          </w:p>
          <w:p w14:paraId="142F55DA">
            <w:pPr>
              <w:wordWrap w:val="0"/>
              <w:spacing w:line="360" w:lineRule="auto"/>
              <w:ind w:firstLine="536"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14"/>
                <w:sz w:val="24"/>
                <w:szCs w:val="24"/>
                <w:highlight w:val="none"/>
              </w:rPr>
              <w:t>表1-1</w:t>
            </w:r>
            <w:r>
              <w:rPr>
                <w:rFonts w:hint="eastAsia" w:ascii="仿宋_GB2312" w:hAnsi="仿宋_GB2312" w:eastAsia="仿宋_GB2312" w:cs="仿宋_GB2312"/>
                <w:color w:val="auto"/>
                <w:spacing w:val="20"/>
                <w:w w:val="101"/>
                <w:sz w:val="24"/>
                <w:szCs w:val="24"/>
                <w:highlight w:val="none"/>
              </w:rPr>
              <w:t xml:space="preserve">  </w:t>
            </w:r>
            <w:r>
              <w:rPr>
                <w:rFonts w:hint="eastAsia" w:ascii="仿宋_GB2312" w:hAnsi="仿宋_GB2312" w:eastAsia="仿宋_GB2312" w:cs="仿宋_GB2312"/>
                <w:color w:val="auto"/>
                <w:spacing w:val="14"/>
                <w:sz w:val="24"/>
                <w:szCs w:val="24"/>
                <w:highlight w:val="none"/>
              </w:rPr>
              <w:t>污水处理厂设计进水水质</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pacing w:val="14"/>
                <w:sz w:val="24"/>
                <w:szCs w:val="24"/>
                <w:highlight w:val="none"/>
              </w:rPr>
              <w:t>单位：</w:t>
            </w:r>
            <w:r>
              <w:rPr>
                <w:rFonts w:hint="eastAsia" w:ascii="仿宋_GB2312" w:hAnsi="仿宋_GB2312" w:eastAsia="仿宋_GB2312" w:cs="仿宋_GB2312"/>
                <w:color w:val="auto"/>
                <w:spacing w:val="-56"/>
                <w:sz w:val="24"/>
                <w:szCs w:val="24"/>
                <w:highlight w:val="none"/>
              </w:rPr>
              <w:t xml:space="preserve"> </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14"/>
                <w:sz w:val="24"/>
                <w:szCs w:val="24"/>
                <w:highlight w:val="none"/>
              </w:rPr>
              <w:t>/L</w:t>
            </w:r>
            <w:r>
              <w:rPr>
                <w:rFonts w:hint="eastAsia" w:ascii="仿宋_GB2312" w:hAnsi="仿宋_GB2312" w:eastAsia="仿宋_GB2312" w:cs="仿宋_GB2312"/>
                <w:color w:val="auto"/>
                <w:spacing w:val="14"/>
                <w:sz w:val="24"/>
                <w:szCs w:val="24"/>
                <w:highlight w:val="none"/>
                <w:lang w:eastAsia="zh-CN"/>
              </w:rPr>
              <w:t>）</w:t>
            </w:r>
          </w:p>
          <w:tbl>
            <w:tblPr>
              <w:tblStyle w:val="9"/>
              <w:tblW w:w="58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4"/>
              <w:gridCol w:w="928"/>
              <w:gridCol w:w="842"/>
              <w:gridCol w:w="842"/>
              <w:gridCol w:w="842"/>
              <w:gridCol w:w="917"/>
              <w:gridCol w:w="725"/>
            </w:tblGrid>
            <w:tr w14:paraId="1D5F8D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93" w:hRule="atLeast"/>
                <w:jc w:val="center"/>
              </w:trPr>
              <w:tc>
                <w:tcPr>
                  <w:tcW w:w="764" w:type="dxa"/>
                  <w:vAlign w:val="center"/>
                </w:tcPr>
                <w:p w14:paraId="5D34867A">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项目</w:t>
                  </w:r>
                </w:p>
              </w:tc>
              <w:tc>
                <w:tcPr>
                  <w:tcW w:w="928" w:type="dxa"/>
                  <w:vAlign w:val="center"/>
                </w:tcPr>
                <w:p w14:paraId="477A9642">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6"/>
                      <w:sz w:val="24"/>
                      <w:szCs w:val="24"/>
                      <w:highlight w:val="none"/>
                    </w:rPr>
                    <w:t>CODcr</w:t>
                  </w:r>
                </w:p>
                <w:p w14:paraId="0D23762D">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7"/>
                      <w:sz w:val="24"/>
                      <w:szCs w:val="24"/>
                      <w:highlight w:val="none"/>
                    </w:rPr>
                    <w:t>/L)</w:t>
                  </w:r>
                </w:p>
              </w:tc>
              <w:tc>
                <w:tcPr>
                  <w:tcW w:w="842" w:type="dxa"/>
                  <w:vAlign w:val="center"/>
                </w:tcPr>
                <w:p w14:paraId="08EA18CF">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BOD</w:t>
                  </w:r>
                  <w:r>
                    <w:rPr>
                      <w:rFonts w:hint="eastAsia" w:ascii="仿宋_GB2312" w:hAnsi="仿宋_GB2312" w:eastAsia="仿宋_GB2312" w:cs="仿宋_GB2312"/>
                      <w:color w:val="auto"/>
                      <w:spacing w:val="22"/>
                      <w:sz w:val="24"/>
                      <w:szCs w:val="24"/>
                      <w:highlight w:val="none"/>
                      <w:vertAlign w:val="subscript"/>
                    </w:rPr>
                    <w:t>5</w:t>
                  </w:r>
                </w:p>
                <w:p w14:paraId="0DCA45F9">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7"/>
                      <w:sz w:val="24"/>
                      <w:szCs w:val="24"/>
                      <w:highlight w:val="none"/>
                    </w:rPr>
                    <w:t>/L)</w:t>
                  </w:r>
                </w:p>
              </w:tc>
              <w:tc>
                <w:tcPr>
                  <w:tcW w:w="842" w:type="dxa"/>
                  <w:vAlign w:val="center"/>
                </w:tcPr>
                <w:p w14:paraId="098B0F2D">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3"/>
                      <w:sz w:val="24"/>
                      <w:szCs w:val="24"/>
                      <w:highlight w:val="none"/>
                    </w:rPr>
                    <w:t>SS</w:t>
                  </w:r>
                </w:p>
                <w:p w14:paraId="37C130BF">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6"/>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6"/>
                      <w:sz w:val="24"/>
                      <w:szCs w:val="24"/>
                      <w:highlight w:val="none"/>
                    </w:rPr>
                    <w:t>/L)</w:t>
                  </w:r>
                </w:p>
              </w:tc>
              <w:tc>
                <w:tcPr>
                  <w:tcW w:w="842" w:type="dxa"/>
                  <w:vAlign w:val="center"/>
                </w:tcPr>
                <w:p w14:paraId="7E04C3C5">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4"/>
                      <w:sz w:val="24"/>
                      <w:szCs w:val="24"/>
                      <w:highlight w:val="none"/>
                    </w:rPr>
                    <w:t>TN</w:t>
                  </w:r>
                </w:p>
                <w:p w14:paraId="026425B9">
                  <w:pPr>
                    <w:wordWrap w:val="0"/>
                    <w:spacing w:before="0" w:line="240" w:lineRule="auto"/>
                    <w:ind w:left="0" w:firstLine="0" w:firstLineChars="0"/>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7"/>
                      <w:sz w:val="24"/>
                      <w:szCs w:val="24"/>
                      <w:highlight w:val="none"/>
                    </w:rPr>
                    <w:t>/L)</w:t>
                  </w:r>
                </w:p>
              </w:tc>
              <w:tc>
                <w:tcPr>
                  <w:tcW w:w="917" w:type="dxa"/>
                  <w:vAlign w:val="center"/>
                </w:tcPr>
                <w:p w14:paraId="5C1D849D">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NH₃</w:t>
                  </w:r>
                  <w:r>
                    <w:rPr>
                      <w:rFonts w:hint="eastAsia" w:ascii="仿宋_GB2312" w:hAnsi="仿宋_GB2312" w:eastAsia="仿宋_GB2312" w:cs="仿宋_GB2312"/>
                      <w:color w:val="auto"/>
                      <w:spacing w:val="18"/>
                      <w:sz w:val="24"/>
                      <w:szCs w:val="24"/>
                      <w:highlight w:val="none"/>
                    </w:rPr>
                    <w:t>-</w:t>
                  </w:r>
                  <w:r>
                    <w:rPr>
                      <w:rFonts w:hint="eastAsia" w:ascii="仿宋_GB2312" w:hAnsi="仿宋_GB2312" w:eastAsia="仿宋_GB2312" w:cs="仿宋_GB2312"/>
                      <w:color w:val="auto"/>
                      <w:spacing w:val="8"/>
                      <w:sz w:val="24"/>
                      <w:szCs w:val="24"/>
                      <w:highlight w:val="none"/>
                    </w:rPr>
                    <w:t>N</w:t>
                  </w:r>
                </w:p>
                <w:p w14:paraId="7F03D7C7">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7"/>
                      <w:sz w:val="24"/>
                      <w:szCs w:val="24"/>
                      <w:highlight w:val="none"/>
                    </w:rPr>
                    <w:t>/L)</w:t>
                  </w:r>
                </w:p>
              </w:tc>
              <w:tc>
                <w:tcPr>
                  <w:tcW w:w="725" w:type="dxa"/>
                  <w:vAlign w:val="center"/>
                </w:tcPr>
                <w:p w14:paraId="1E575E4A">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3"/>
                      <w:sz w:val="24"/>
                      <w:szCs w:val="24"/>
                      <w:highlight w:val="none"/>
                    </w:rPr>
                    <w:t>TP</w:t>
                  </w:r>
                </w:p>
                <w:p w14:paraId="3727EB97">
                  <w:pPr>
                    <w:wordWrap w:val="0"/>
                    <w:spacing w:before="0" w:line="240" w:lineRule="auto"/>
                    <w:ind w:left="0" w:firstLine="0" w:firstLineChars="0"/>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6"/>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6"/>
                      <w:sz w:val="24"/>
                      <w:szCs w:val="24"/>
                      <w:highlight w:val="none"/>
                    </w:rPr>
                    <w:t>/</w:t>
                  </w:r>
                  <w:r>
                    <w:rPr>
                      <w:rFonts w:hint="eastAsia" w:ascii="仿宋_GB2312" w:hAnsi="仿宋_GB2312" w:eastAsia="仿宋_GB2312" w:cs="仿宋_GB2312"/>
                      <w:color w:val="auto"/>
                      <w:spacing w:val="2"/>
                      <w:sz w:val="24"/>
                      <w:szCs w:val="24"/>
                      <w:highlight w:val="none"/>
                    </w:rPr>
                    <w:t>L)</w:t>
                  </w:r>
                </w:p>
              </w:tc>
            </w:tr>
            <w:tr w14:paraId="15E77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jc w:val="center"/>
              </w:trPr>
              <w:tc>
                <w:tcPr>
                  <w:tcW w:w="764" w:type="dxa"/>
                  <w:vAlign w:val="center"/>
                </w:tcPr>
                <w:p w14:paraId="05E1B65D">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进水</w:t>
                  </w:r>
                  <w:r>
                    <w:rPr>
                      <w:rFonts w:hint="eastAsia" w:ascii="仿宋_GB2312" w:hAnsi="仿宋_GB2312" w:eastAsia="仿宋_GB2312" w:cs="仿宋_GB2312"/>
                      <w:color w:val="auto"/>
                      <w:spacing w:val="10"/>
                      <w:sz w:val="24"/>
                      <w:szCs w:val="24"/>
                      <w:highlight w:val="none"/>
                    </w:rPr>
                    <w:t>浓度</w:t>
                  </w:r>
                </w:p>
              </w:tc>
              <w:tc>
                <w:tcPr>
                  <w:tcW w:w="928" w:type="dxa"/>
                  <w:vAlign w:val="center"/>
                </w:tcPr>
                <w:p w14:paraId="48093C0C">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1"/>
                      <w:position w:val="1"/>
                      <w:sz w:val="24"/>
                      <w:szCs w:val="24"/>
                      <w:highlight w:val="none"/>
                    </w:rPr>
                    <w:t>200</w:t>
                  </w:r>
                </w:p>
              </w:tc>
              <w:tc>
                <w:tcPr>
                  <w:tcW w:w="842" w:type="dxa"/>
                  <w:vAlign w:val="center"/>
                </w:tcPr>
                <w:p w14:paraId="630DFBC2">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4"/>
                      <w:position w:val="1"/>
                      <w:sz w:val="24"/>
                      <w:szCs w:val="24"/>
                      <w:highlight w:val="none"/>
                    </w:rPr>
                    <w:t>120</w:t>
                  </w:r>
                </w:p>
              </w:tc>
              <w:tc>
                <w:tcPr>
                  <w:tcW w:w="842" w:type="dxa"/>
                  <w:vAlign w:val="center"/>
                </w:tcPr>
                <w:p w14:paraId="1CA063CE">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4"/>
                      <w:position w:val="1"/>
                      <w:sz w:val="24"/>
                      <w:szCs w:val="24"/>
                      <w:highlight w:val="none"/>
                    </w:rPr>
                    <w:t>150</w:t>
                  </w:r>
                </w:p>
              </w:tc>
              <w:tc>
                <w:tcPr>
                  <w:tcW w:w="842" w:type="dxa"/>
                  <w:vAlign w:val="center"/>
                </w:tcPr>
                <w:p w14:paraId="2E4D31BE">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2"/>
                      <w:position w:val="1"/>
                      <w:sz w:val="24"/>
                      <w:szCs w:val="24"/>
                      <w:highlight w:val="none"/>
                    </w:rPr>
                    <w:t>35</w:t>
                  </w:r>
                </w:p>
              </w:tc>
              <w:tc>
                <w:tcPr>
                  <w:tcW w:w="917" w:type="dxa"/>
                  <w:vAlign w:val="center"/>
                </w:tcPr>
                <w:p w14:paraId="4A14E4E6">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2"/>
                      <w:position w:val="1"/>
                      <w:sz w:val="24"/>
                      <w:szCs w:val="24"/>
                      <w:highlight w:val="none"/>
                    </w:rPr>
                    <w:t>30</w:t>
                  </w:r>
                </w:p>
              </w:tc>
              <w:tc>
                <w:tcPr>
                  <w:tcW w:w="725" w:type="dxa"/>
                  <w:vAlign w:val="center"/>
                </w:tcPr>
                <w:p w14:paraId="56D88207">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position w:val="1"/>
                      <w:sz w:val="24"/>
                      <w:szCs w:val="24"/>
                      <w:highlight w:val="none"/>
                    </w:rPr>
                    <w:t>3</w:t>
                  </w:r>
                </w:p>
              </w:tc>
            </w:tr>
          </w:tbl>
          <w:p w14:paraId="66998779">
            <w:pPr>
              <w:wordWrap w:val="0"/>
              <w:spacing w:before="86" w:line="360" w:lineRule="auto"/>
              <w:ind w:left="0" w:firstLine="544" w:firstLineChars="200"/>
              <w:outlineLvl w:val="1"/>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16"/>
                <w:sz w:val="24"/>
                <w:szCs w:val="24"/>
                <w:highlight w:val="none"/>
              </w:rPr>
              <w:t>2.出水水质标准</w:t>
            </w:r>
          </w:p>
          <w:p w14:paraId="6291CC9F">
            <w:pPr>
              <w:wordWrap w:val="0"/>
              <w:spacing w:line="360" w:lineRule="auto"/>
              <w:ind w:firstLine="532"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13"/>
                <w:sz w:val="24"/>
                <w:szCs w:val="24"/>
                <w:highlight w:val="none"/>
              </w:rPr>
              <w:t>表2-1</w:t>
            </w:r>
            <w:r>
              <w:rPr>
                <w:rFonts w:hint="eastAsia" w:ascii="仿宋_GB2312" w:hAnsi="仿宋_GB2312" w:eastAsia="仿宋_GB2312" w:cs="仿宋_GB2312"/>
                <w:color w:val="auto"/>
                <w:spacing w:val="13"/>
                <w:sz w:val="24"/>
                <w:szCs w:val="24"/>
                <w:highlight w:val="none"/>
                <w:lang w:val="en-US" w:eastAsia="zh-CN"/>
              </w:rPr>
              <w:t xml:space="preserve">  </w:t>
            </w:r>
            <w:r>
              <w:rPr>
                <w:rFonts w:hint="eastAsia" w:ascii="仿宋_GB2312" w:hAnsi="仿宋_GB2312" w:eastAsia="仿宋_GB2312" w:cs="仿宋_GB2312"/>
                <w:color w:val="auto"/>
                <w:spacing w:val="-54"/>
                <w:sz w:val="24"/>
                <w:szCs w:val="24"/>
                <w:highlight w:val="none"/>
              </w:rPr>
              <w:t xml:space="preserve"> </w:t>
            </w:r>
            <w:r>
              <w:rPr>
                <w:rFonts w:hint="eastAsia" w:ascii="仿宋_GB2312" w:hAnsi="仿宋_GB2312" w:eastAsia="仿宋_GB2312" w:cs="仿宋_GB2312"/>
                <w:color w:val="auto"/>
                <w:spacing w:val="13"/>
                <w:sz w:val="24"/>
                <w:szCs w:val="24"/>
                <w:highlight w:val="none"/>
              </w:rPr>
              <w:t>污水处理厂设计出水水质</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rPr>
              <w:t>单位：</w:t>
            </w:r>
            <w:r>
              <w:rPr>
                <w:rFonts w:hint="eastAsia" w:ascii="仿宋_GB2312" w:hAnsi="仿宋_GB2312" w:eastAsia="仿宋_GB2312" w:cs="仿宋_GB2312"/>
                <w:color w:val="auto"/>
                <w:spacing w:val="-52"/>
                <w:sz w:val="24"/>
                <w:szCs w:val="24"/>
                <w:highlight w:val="none"/>
              </w:rPr>
              <w:t xml:space="preserve"> </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13"/>
                <w:sz w:val="24"/>
                <w:szCs w:val="24"/>
                <w:highlight w:val="none"/>
              </w:rPr>
              <w:t>/L</w:t>
            </w:r>
            <w:r>
              <w:rPr>
                <w:rFonts w:hint="eastAsia" w:ascii="仿宋_GB2312" w:hAnsi="仿宋_GB2312" w:eastAsia="仿宋_GB2312" w:cs="仿宋_GB2312"/>
                <w:color w:val="auto"/>
                <w:spacing w:val="13"/>
                <w:sz w:val="24"/>
                <w:szCs w:val="24"/>
                <w:highlight w:val="none"/>
                <w:lang w:eastAsia="zh-CN"/>
              </w:rPr>
              <w:t>）</w:t>
            </w:r>
          </w:p>
          <w:tbl>
            <w:tblPr>
              <w:tblStyle w:val="9"/>
              <w:tblW w:w="5757" w:type="dxa"/>
              <w:tblInd w:w="20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8"/>
              <w:gridCol w:w="1004"/>
              <w:gridCol w:w="842"/>
              <w:gridCol w:w="842"/>
              <w:gridCol w:w="842"/>
              <w:gridCol w:w="843"/>
              <w:gridCol w:w="696"/>
            </w:tblGrid>
            <w:tr w14:paraId="74755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688" w:type="dxa"/>
                  <w:vAlign w:val="center"/>
                </w:tcPr>
                <w:p w14:paraId="5705F8C3">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项目</w:t>
                  </w:r>
                </w:p>
              </w:tc>
              <w:tc>
                <w:tcPr>
                  <w:tcW w:w="1004" w:type="dxa"/>
                  <w:vAlign w:val="center"/>
                </w:tcPr>
                <w:p w14:paraId="3266FA6D">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6"/>
                      <w:sz w:val="24"/>
                      <w:szCs w:val="24"/>
                      <w:highlight w:val="none"/>
                    </w:rPr>
                    <w:t>CODcr</w:t>
                  </w:r>
                </w:p>
                <w:p w14:paraId="3451CECC">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7"/>
                      <w:sz w:val="24"/>
                      <w:szCs w:val="24"/>
                      <w:highlight w:val="none"/>
                    </w:rPr>
                    <w:t>/L)</w:t>
                  </w:r>
                </w:p>
              </w:tc>
              <w:tc>
                <w:tcPr>
                  <w:tcW w:w="842" w:type="dxa"/>
                  <w:vAlign w:val="center"/>
                </w:tcPr>
                <w:p w14:paraId="4C351B34">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BOD</w:t>
                  </w:r>
                  <w:r>
                    <w:rPr>
                      <w:rFonts w:hint="eastAsia" w:ascii="仿宋_GB2312" w:hAnsi="仿宋_GB2312" w:eastAsia="仿宋_GB2312" w:cs="仿宋_GB2312"/>
                      <w:color w:val="auto"/>
                      <w:spacing w:val="22"/>
                      <w:sz w:val="24"/>
                      <w:szCs w:val="24"/>
                      <w:highlight w:val="none"/>
                      <w:vertAlign w:val="subscript"/>
                    </w:rPr>
                    <w:t>5</w:t>
                  </w:r>
                </w:p>
                <w:p w14:paraId="53402A7C">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7"/>
                      <w:sz w:val="24"/>
                      <w:szCs w:val="24"/>
                      <w:highlight w:val="none"/>
                    </w:rPr>
                    <w:t>/L)</w:t>
                  </w:r>
                </w:p>
              </w:tc>
              <w:tc>
                <w:tcPr>
                  <w:tcW w:w="842" w:type="dxa"/>
                  <w:vAlign w:val="center"/>
                </w:tcPr>
                <w:p w14:paraId="578878AA">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3"/>
                      <w:sz w:val="24"/>
                      <w:szCs w:val="24"/>
                      <w:highlight w:val="none"/>
                    </w:rPr>
                    <w:t>SS</w:t>
                  </w:r>
                </w:p>
                <w:p w14:paraId="1B5C26CF">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6"/>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6"/>
                      <w:sz w:val="24"/>
                      <w:szCs w:val="24"/>
                      <w:highlight w:val="none"/>
                    </w:rPr>
                    <w:t>/L)</w:t>
                  </w:r>
                </w:p>
              </w:tc>
              <w:tc>
                <w:tcPr>
                  <w:tcW w:w="842" w:type="dxa"/>
                  <w:vAlign w:val="center"/>
                </w:tcPr>
                <w:p w14:paraId="1921AE2F">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4"/>
                      <w:sz w:val="24"/>
                      <w:szCs w:val="24"/>
                      <w:highlight w:val="none"/>
                    </w:rPr>
                    <w:t>TN</w:t>
                  </w:r>
                </w:p>
                <w:p w14:paraId="131D3E97">
                  <w:pPr>
                    <w:wordWrap w:val="0"/>
                    <w:spacing w:before="0" w:line="240" w:lineRule="auto"/>
                    <w:ind w:left="0" w:firstLine="0" w:firstLineChars="0"/>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7"/>
                      <w:sz w:val="24"/>
                      <w:szCs w:val="24"/>
                      <w:highlight w:val="none"/>
                    </w:rPr>
                    <w:t>/L)</w:t>
                  </w:r>
                </w:p>
              </w:tc>
              <w:tc>
                <w:tcPr>
                  <w:tcW w:w="843" w:type="dxa"/>
                  <w:vAlign w:val="center"/>
                </w:tcPr>
                <w:p w14:paraId="60ADB087">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NH₃</w:t>
                  </w:r>
                  <w:r>
                    <w:rPr>
                      <w:rFonts w:hint="eastAsia" w:ascii="仿宋_GB2312" w:hAnsi="仿宋_GB2312" w:eastAsia="仿宋_GB2312" w:cs="仿宋_GB2312"/>
                      <w:color w:val="auto"/>
                      <w:spacing w:val="18"/>
                      <w:sz w:val="24"/>
                      <w:szCs w:val="24"/>
                      <w:highlight w:val="none"/>
                    </w:rPr>
                    <w:t>-</w:t>
                  </w:r>
                  <w:r>
                    <w:rPr>
                      <w:rFonts w:hint="eastAsia" w:ascii="仿宋_GB2312" w:hAnsi="仿宋_GB2312" w:eastAsia="仿宋_GB2312" w:cs="仿宋_GB2312"/>
                      <w:color w:val="auto"/>
                      <w:spacing w:val="8"/>
                      <w:sz w:val="24"/>
                      <w:szCs w:val="24"/>
                      <w:highlight w:val="none"/>
                    </w:rPr>
                    <w:t>N</w:t>
                  </w:r>
                </w:p>
                <w:p w14:paraId="3C711173">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7"/>
                      <w:sz w:val="24"/>
                      <w:szCs w:val="24"/>
                      <w:highlight w:val="none"/>
                    </w:rPr>
                    <w:t>/L)</w:t>
                  </w:r>
                </w:p>
              </w:tc>
              <w:tc>
                <w:tcPr>
                  <w:tcW w:w="696" w:type="dxa"/>
                  <w:vAlign w:val="center"/>
                </w:tcPr>
                <w:p w14:paraId="0BB254EE">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3"/>
                      <w:sz w:val="24"/>
                      <w:szCs w:val="24"/>
                      <w:highlight w:val="none"/>
                    </w:rPr>
                    <w:t>TP</w:t>
                  </w:r>
                </w:p>
                <w:p w14:paraId="75546BA5">
                  <w:pPr>
                    <w:wordWrap w:val="0"/>
                    <w:spacing w:before="0" w:line="240" w:lineRule="auto"/>
                    <w:ind w:left="0" w:firstLine="0" w:firstLineChars="0"/>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6"/>
                      <w:sz w:val="24"/>
                      <w:szCs w:val="24"/>
                      <w:highlight w:val="none"/>
                    </w:rPr>
                    <w:t>(</w:t>
                  </w:r>
                  <w:r>
                    <w:rPr>
                      <w:rFonts w:hint="eastAsia" w:ascii="仿宋_GB2312" w:hAnsi="仿宋_GB2312" w:eastAsia="仿宋_GB2312" w:cs="仿宋_GB2312"/>
                      <w:color w:val="auto"/>
                      <w:sz w:val="24"/>
                      <w:szCs w:val="24"/>
                      <w:highlight w:val="none"/>
                    </w:rPr>
                    <w:t>mg</w:t>
                  </w:r>
                  <w:r>
                    <w:rPr>
                      <w:rFonts w:hint="eastAsia" w:ascii="仿宋_GB2312" w:hAnsi="仿宋_GB2312" w:eastAsia="仿宋_GB2312" w:cs="仿宋_GB2312"/>
                      <w:color w:val="auto"/>
                      <w:spacing w:val="6"/>
                      <w:sz w:val="24"/>
                      <w:szCs w:val="24"/>
                      <w:highlight w:val="none"/>
                    </w:rPr>
                    <w:t>/</w:t>
                  </w:r>
                  <w:r>
                    <w:rPr>
                      <w:rFonts w:hint="eastAsia" w:ascii="仿宋_GB2312" w:hAnsi="仿宋_GB2312" w:eastAsia="仿宋_GB2312" w:cs="仿宋_GB2312"/>
                      <w:color w:val="auto"/>
                      <w:spacing w:val="2"/>
                      <w:sz w:val="24"/>
                      <w:szCs w:val="24"/>
                      <w:highlight w:val="none"/>
                    </w:rPr>
                    <w:t>L)</w:t>
                  </w:r>
                </w:p>
              </w:tc>
            </w:tr>
            <w:tr w14:paraId="79B61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88" w:type="dxa"/>
                  <w:vAlign w:val="center"/>
                </w:tcPr>
                <w:p w14:paraId="20CDB652">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3"/>
                      <w:sz w:val="24"/>
                      <w:szCs w:val="24"/>
                      <w:highlight w:val="none"/>
                    </w:rPr>
                    <w:t>出水</w:t>
                  </w:r>
                  <w:r>
                    <w:rPr>
                      <w:rFonts w:hint="eastAsia" w:ascii="仿宋_GB2312" w:hAnsi="仿宋_GB2312" w:eastAsia="仿宋_GB2312" w:cs="仿宋_GB2312"/>
                      <w:color w:val="auto"/>
                      <w:spacing w:val="10"/>
                      <w:sz w:val="24"/>
                      <w:szCs w:val="24"/>
                      <w:highlight w:val="none"/>
                    </w:rPr>
                    <w:t>浓度</w:t>
                  </w:r>
                </w:p>
              </w:tc>
              <w:tc>
                <w:tcPr>
                  <w:tcW w:w="1004" w:type="dxa"/>
                  <w:vAlign w:val="center"/>
                </w:tcPr>
                <w:p w14:paraId="3A89C9E6">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60</w:t>
                  </w:r>
                </w:p>
              </w:tc>
              <w:tc>
                <w:tcPr>
                  <w:tcW w:w="842" w:type="dxa"/>
                  <w:vAlign w:val="center"/>
                </w:tcPr>
                <w:p w14:paraId="67F11972">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3"/>
                      <w:sz w:val="24"/>
                      <w:szCs w:val="24"/>
                      <w:highlight w:val="none"/>
                    </w:rPr>
                    <w:t>20</w:t>
                  </w:r>
                </w:p>
              </w:tc>
              <w:tc>
                <w:tcPr>
                  <w:tcW w:w="842" w:type="dxa"/>
                  <w:vAlign w:val="center"/>
                </w:tcPr>
                <w:p w14:paraId="134719F8">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3"/>
                      <w:sz w:val="24"/>
                      <w:szCs w:val="24"/>
                      <w:highlight w:val="none"/>
                    </w:rPr>
                    <w:t>20</w:t>
                  </w:r>
                </w:p>
              </w:tc>
              <w:tc>
                <w:tcPr>
                  <w:tcW w:w="842" w:type="dxa"/>
                  <w:vAlign w:val="center"/>
                </w:tcPr>
                <w:p w14:paraId="2792124E">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3"/>
                      <w:sz w:val="24"/>
                      <w:szCs w:val="24"/>
                      <w:highlight w:val="none"/>
                    </w:rPr>
                    <w:t>20</w:t>
                  </w:r>
                </w:p>
              </w:tc>
              <w:tc>
                <w:tcPr>
                  <w:tcW w:w="843" w:type="dxa"/>
                  <w:vAlign w:val="center"/>
                </w:tcPr>
                <w:p w14:paraId="24A9A8D1">
                  <w:pPr>
                    <w:wordWrap w:val="0"/>
                    <w:spacing w:before="0" w:line="240" w:lineRule="auto"/>
                    <w:ind w:righ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4"/>
                      <w:sz w:val="24"/>
                      <w:szCs w:val="24"/>
                      <w:highlight w:val="none"/>
                    </w:rPr>
                    <w:t>8</w:t>
                  </w:r>
                  <w:r>
                    <w:rPr>
                      <w:rFonts w:hint="eastAsia" w:ascii="仿宋_GB2312" w:hAnsi="仿宋_GB2312" w:eastAsia="仿宋_GB2312" w:cs="仿宋_GB2312"/>
                      <w:color w:val="auto"/>
                      <w:spacing w:val="4"/>
                      <w:sz w:val="24"/>
                      <w:szCs w:val="24"/>
                      <w:highlight w:val="none"/>
                      <w:lang w:eastAsia="zh-CN"/>
                    </w:rPr>
                    <w:t>(</w:t>
                  </w:r>
                  <w:r>
                    <w:rPr>
                      <w:rFonts w:hint="eastAsia" w:ascii="仿宋_GB2312" w:hAnsi="仿宋_GB2312" w:eastAsia="仿宋_GB2312" w:cs="仿宋_GB2312"/>
                      <w:color w:val="auto"/>
                      <w:spacing w:val="4"/>
                      <w:sz w:val="24"/>
                      <w:szCs w:val="24"/>
                      <w:highlight w:val="none"/>
                    </w:rPr>
                    <w:t>15</w:t>
                  </w:r>
                  <w:r>
                    <w:rPr>
                      <w:rFonts w:hint="eastAsia" w:ascii="仿宋_GB2312" w:hAnsi="仿宋_GB2312" w:eastAsia="仿宋_GB2312" w:cs="仿宋_GB2312"/>
                      <w:color w:val="auto"/>
                      <w:spacing w:val="4"/>
                      <w:sz w:val="24"/>
                      <w:szCs w:val="24"/>
                      <w:highlight w:val="none"/>
                      <w:lang w:eastAsia="zh-CN"/>
                    </w:rPr>
                    <w:t>)</w:t>
                  </w:r>
                </w:p>
              </w:tc>
              <w:tc>
                <w:tcPr>
                  <w:tcW w:w="696" w:type="dxa"/>
                  <w:vAlign w:val="center"/>
                </w:tcPr>
                <w:p w14:paraId="0F56ED11">
                  <w:pPr>
                    <w:wordWrap w:val="0"/>
                    <w:spacing w:before="0" w:line="240" w:lineRule="auto"/>
                    <w:ind w:left="0"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r>
          </w:tbl>
          <w:p w14:paraId="5D67438F">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3.</w:t>
            </w:r>
            <w:r>
              <w:rPr>
                <w:rFonts w:hint="eastAsia" w:ascii="仿宋_GB2312" w:hAnsi="仿宋_GB2312" w:eastAsia="仿宋_GB2312" w:cs="仿宋_GB2312"/>
                <w:color w:val="auto"/>
                <w:kern w:val="0"/>
                <w:sz w:val="24"/>
                <w:szCs w:val="24"/>
                <w:highlight w:val="none"/>
              </w:rPr>
              <w:t>符合国家规定的技术质量标准和现行技术规范、规程要求。</w:t>
            </w:r>
          </w:p>
          <w:p w14:paraId="5E36F882">
            <w:pPr>
              <w:wordWrap w:val="0"/>
              <w:spacing w:line="360" w:lineRule="auto"/>
              <w:ind w:firstLine="482" w:firstLineChars="200"/>
              <w:rPr>
                <w:rFonts w:hint="eastAsia" w:ascii="仿宋_GB2312" w:hAnsi="仿宋_GB2312" w:eastAsia="仿宋_GB2312" w:cs="仿宋_GB2312"/>
                <w:b/>
                <w:bCs/>
                <w:color w:val="auto"/>
                <w:kern w:val="0"/>
                <w:sz w:val="24"/>
                <w:szCs w:val="24"/>
                <w:highlight w:val="none"/>
              </w:rPr>
            </w:pPr>
            <w:r>
              <w:rPr>
                <w:rFonts w:hint="eastAsia" w:ascii="仿宋_GB2312" w:hAnsi="仿宋_GB2312" w:eastAsia="仿宋_GB2312" w:cs="仿宋_GB2312"/>
                <w:b/>
                <w:bCs/>
                <w:color w:val="auto"/>
                <w:kern w:val="0"/>
                <w:sz w:val="24"/>
                <w:szCs w:val="24"/>
                <w:highlight w:val="none"/>
                <w:lang w:val="en-US" w:eastAsia="zh-CN"/>
              </w:rPr>
              <w:t>四、</w:t>
            </w:r>
            <w:r>
              <w:rPr>
                <w:rFonts w:hint="eastAsia" w:ascii="仿宋_GB2312" w:hAnsi="仿宋_GB2312" w:eastAsia="仿宋_GB2312" w:cs="仿宋_GB2312"/>
                <w:b/>
                <w:bCs/>
                <w:color w:val="auto"/>
                <w:kern w:val="0"/>
                <w:sz w:val="24"/>
                <w:szCs w:val="24"/>
                <w:highlight w:val="none"/>
              </w:rPr>
              <w:t>服务</w:t>
            </w:r>
            <w:r>
              <w:rPr>
                <w:rFonts w:hint="eastAsia" w:ascii="仿宋_GB2312" w:hAnsi="仿宋_GB2312" w:eastAsia="仿宋_GB2312" w:cs="仿宋_GB2312"/>
                <w:b/>
                <w:bCs/>
                <w:color w:val="auto"/>
                <w:kern w:val="0"/>
                <w:sz w:val="24"/>
                <w:szCs w:val="24"/>
                <w:highlight w:val="none"/>
                <w:lang w:eastAsia="zh-CN"/>
              </w:rPr>
              <w:t>内容及</w:t>
            </w:r>
            <w:r>
              <w:rPr>
                <w:rFonts w:hint="eastAsia" w:ascii="仿宋_GB2312" w:hAnsi="仿宋_GB2312" w:eastAsia="仿宋_GB2312" w:cs="仿宋_GB2312"/>
                <w:b/>
                <w:bCs/>
                <w:color w:val="auto"/>
                <w:kern w:val="0"/>
                <w:sz w:val="24"/>
                <w:szCs w:val="24"/>
                <w:highlight w:val="none"/>
              </w:rPr>
              <w:t>工作要求</w:t>
            </w:r>
          </w:p>
          <w:p w14:paraId="798CEA28">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本要求基于污水</w:t>
            </w:r>
            <w:r>
              <w:rPr>
                <w:rFonts w:hint="eastAsia" w:ascii="仿宋_GB2312" w:hAnsi="仿宋_GB2312" w:eastAsia="仿宋_GB2312" w:cs="仿宋_GB2312"/>
                <w:color w:val="auto"/>
                <w:kern w:val="0"/>
                <w:sz w:val="24"/>
                <w:szCs w:val="24"/>
                <w:highlight w:val="none"/>
                <w:lang w:val="en-US" w:eastAsia="zh-CN"/>
              </w:rPr>
              <w:t>处理</w:t>
            </w:r>
            <w:r>
              <w:rPr>
                <w:rFonts w:hint="eastAsia" w:ascii="仿宋_GB2312" w:hAnsi="仿宋_GB2312" w:eastAsia="仿宋_GB2312" w:cs="仿宋_GB2312"/>
                <w:color w:val="auto"/>
                <w:kern w:val="0"/>
                <w:sz w:val="24"/>
                <w:szCs w:val="24"/>
                <w:highlight w:val="none"/>
                <w:lang w:eastAsia="zh-CN"/>
              </w:rPr>
              <w:t>厂</w:t>
            </w:r>
            <w:r>
              <w:rPr>
                <w:rFonts w:hint="eastAsia" w:ascii="仿宋_GB2312" w:hAnsi="仿宋_GB2312" w:eastAsia="仿宋_GB2312" w:cs="仿宋_GB2312"/>
                <w:color w:val="auto"/>
                <w:kern w:val="0"/>
                <w:sz w:val="24"/>
                <w:szCs w:val="24"/>
                <w:highlight w:val="none"/>
              </w:rPr>
              <w:t>处理规模及出水标准制定，成交供应商在服务期内须严格遵照执行，确保污水处理系统稳定、安全、高效运行，出水水质持续达标。</w:t>
            </w:r>
          </w:p>
          <w:p w14:paraId="3E87193C">
            <w:pPr>
              <w:wordWrap w:val="0"/>
              <w:spacing w:line="360" w:lineRule="auto"/>
              <w:ind w:firstLine="482" w:firstLineChars="200"/>
              <w:rPr>
                <w:rFonts w:hint="eastAsia" w:ascii="仿宋_GB2312" w:hAnsi="仿宋_GB2312" w:eastAsia="仿宋_GB2312" w:cs="仿宋_GB2312"/>
                <w:b/>
                <w:bCs/>
                <w:color w:val="auto"/>
                <w:kern w:val="0"/>
                <w:sz w:val="24"/>
                <w:szCs w:val="24"/>
                <w:highlight w:val="none"/>
              </w:rPr>
            </w:pPr>
            <w:r>
              <w:rPr>
                <w:rFonts w:hint="eastAsia" w:ascii="仿宋_GB2312" w:hAnsi="仿宋_GB2312" w:eastAsia="仿宋_GB2312" w:cs="仿宋_GB2312"/>
                <w:b/>
                <w:bCs/>
                <w:color w:val="auto"/>
                <w:kern w:val="0"/>
                <w:sz w:val="24"/>
                <w:szCs w:val="24"/>
                <w:highlight w:val="none"/>
                <w:lang w:eastAsia="zh-CN"/>
              </w:rPr>
              <w:t>（一）</w:t>
            </w:r>
            <w:r>
              <w:rPr>
                <w:rFonts w:hint="eastAsia" w:ascii="仿宋_GB2312" w:hAnsi="仿宋_GB2312" w:eastAsia="仿宋_GB2312" w:cs="仿宋_GB2312"/>
                <w:b/>
                <w:bCs/>
                <w:color w:val="auto"/>
                <w:kern w:val="0"/>
                <w:sz w:val="24"/>
                <w:szCs w:val="24"/>
                <w:highlight w:val="none"/>
              </w:rPr>
              <w:t>核心运行保障要求</w:t>
            </w:r>
          </w:p>
          <w:p w14:paraId="6509D6E7">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全面负责服务期内污水处理系统正常运行的全流程工作，制定科学的运行方案并严格实施定期开展设备检修保养与日常维修工作，对于无法自主维修的设备，须及时协助采购人联系原厂家或授权服务商开展维修事宜。确保所有处理设施、设备无堵塞、渗漏、开裂、破损等异常情况；故障设备须在规定时限内修复（一般故障不超过24小时，重大故障不超过72小时），关键设备（如提升泵、曝气设备、消毒设备等）必须制定并落实备用方案，确保不影响系统整体运行。</w:t>
            </w:r>
          </w:p>
          <w:p w14:paraId="16192055">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分类型做好设施运维：①有动力处理设施：保障各类水泵、风机、曝气设备及配套配电设施运行良好，无漏电、跳闸、异响、振动异常等现象，定期检测设备运行参数（如电流、电压、扬程、流量等），确保符合设计要求；②其他设施：按季节开展植物修枝、整形、杂草清除、病虫害防治及补种工作，确保厂区植物覆盖率及生长状态；保持污水池内基质无板结、无垃圾杂物、无杂草滋生，池体及周边绿化带内禁止堆放任何杂物，保障污水处理效率及景观整洁度。</w:t>
            </w:r>
          </w:p>
          <w:p w14:paraId="5CEA92A3">
            <w:pPr>
              <w:wordWrap w:val="0"/>
              <w:spacing w:line="360" w:lineRule="auto"/>
              <w:ind w:firstLine="482" w:firstLineChars="200"/>
              <w:rPr>
                <w:rFonts w:hint="eastAsia" w:ascii="仿宋_GB2312" w:hAnsi="仿宋_GB2312" w:eastAsia="仿宋_GB2312" w:cs="仿宋_GB2312"/>
                <w:b/>
                <w:bCs/>
                <w:color w:val="auto"/>
                <w:kern w:val="0"/>
                <w:sz w:val="24"/>
                <w:szCs w:val="24"/>
                <w:highlight w:val="none"/>
              </w:rPr>
            </w:pPr>
            <w:r>
              <w:rPr>
                <w:rFonts w:hint="eastAsia" w:ascii="仿宋_GB2312" w:hAnsi="仿宋_GB2312" w:eastAsia="仿宋_GB2312" w:cs="仿宋_GB2312"/>
                <w:b/>
                <w:bCs/>
                <w:color w:val="auto"/>
                <w:kern w:val="0"/>
                <w:sz w:val="24"/>
                <w:szCs w:val="24"/>
                <w:highlight w:val="none"/>
                <w:lang w:eastAsia="zh-CN"/>
              </w:rPr>
              <w:t>（二）</w:t>
            </w:r>
            <w:r>
              <w:rPr>
                <w:rFonts w:hint="eastAsia" w:ascii="仿宋_GB2312" w:hAnsi="仿宋_GB2312" w:eastAsia="仿宋_GB2312" w:cs="仿宋_GB2312"/>
                <w:b/>
                <w:bCs/>
                <w:color w:val="auto"/>
                <w:kern w:val="0"/>
                <w:sz w:val="24"/>
                <w:szCs w:val="24"/>
                <w:highlight w:val="none"/>
              </w:rPr>
              <w:t>全范围设施运维管理要求</w:t>
            </w:r>
          </w:p>
          <w:p w14:paraId="2D085F63">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rPr>
              <w:t>对厂区内所有设施设备及公用附属设施实施全生命周期检测与维护管理，具体涵盖：各类处理设备、构筑物、厂区道路、绿化系统、排水排污管道、给水及消防管道等；建立“日巡查、周检查、月保养”制度，详细记录检查生产维护情况，形成可追溯的设施管理档案，发现隐患</w:t>
            </w:r>
            <w:r>
              <w:rPr>
                <w:rFonts w:hint="eastAsia" w:ascii="仿宋_GB2312" w:hAnsi="仿宋_GB2312" w:eastAsia="仿宋_GB2312" w:cs="仿宋_GB2312"/>
                <w:color w:val="auto"/>
                <w:kern w:val="0"/>
                <w:sz w:val="24"/>
                <w:szCs w:val="24"/>
                <w:highlight w:val="none"/>
                <w:lang w:val="en-US" w:eastAsia="zh-CN"/>
              </w:rPr>
              <w:t>4小时内</w:t>
            </w:r>
            <w:r>
              <w:rPr>
                <w:rFonts w:hint="eastAsia" w:ascii="仿宋_GB2312" w:hAnsi="仿宋_GB2312" w:eastAsia="仿宋_GB2312" w:cs="仿宋_GB2312"/>
                <w:color w:val="auto"/>
                <w:kern w:val="0"/>
                <w:sz w:val="24"/>
                <w:szCs w:val="24"/>
                <w:highlight w:val="none"/>
              </w:rPr>
              <w:t>整改。</w:t>
            </w:r>
          </w:p>
          <w:p w14:paraId="7D0E7E04">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2</w:t>
            </w:r>
            <w:r>
              <w:rPr>
                <w:rFonts w:hint="eastAsia" w:ascii="仿宋_GB2312" w:hAnsi="仿宋_GB2312" w:eastAsia="仿宋_GB2312" w:cs="仿宋_GB2312"/>
                <w:color w:val="auto"/>
                <w:kern w:val="0"/>
                <w:sz w:val="24"/>
                <w:szCs w:val="24"/>
                <w:highlight w:val="none"/>
              </w:rPr>
              <w:t>.建立并完善污水收集管网巡查制度（需上墙），明确巡查范围、频次（重点区域每日至少1次，一般区域每周至少2次）及巡查标准；制定针对性应急处理预案（如管网堵塞、破损、雨天溢流等场景），一旦发现污水处理设施或管网破损、堵塞等问题，须立即启动响应，安排专业人员进行维修处置，防止污水外溢污染环境。</w:t>
            </w:r>
          </w:p>
          <w:p w14:paraId="72C2CD31">
            <w:pPr>
              <w:wordWrap w:val="0"/>
              <w:spacing w:line="360" w:lineRule="auto"/>
              <w:ind w:firstLine="482" w:firstLineChars="200"/>
              <w:rPr>
                <w:rFonts w:hint="eastAsia" w:ascii="仿宋_GB2312" w:hAnsi="仿宋_GB2312" w:eastAsia="仿宋_GB2312" w:cs="仿宋_GB2312"/>
                <w:b/>
                <w:bCs/>
                <w:color w:val="auto"/>
                <w:kern w:val="0"/>
                <w:sz w:val="24"/>
                <w:szCs w:val="24"/>
                <w:highlight w:val="none"/>
              </w:rPr>
            </w:pPr>
            <w:r>
              <w:rPr>
                <w:rFonts w:hint="eastAsia" w:ascii="仿宋_GB2312" w:hAnsi="仿宋_GB2312" w:eastAsia="仿宋_GB2312" w:cs="仿宋_GB2312"/>
                <w:b/>
                <w:bCs/>
                <w:color w:val="auto"/>
                <w:kern w:val="0"/>
                <w:sz w:val="24"/>
                <w:szCs w:val="24"/>
                <w:highlight w:val="none"/>
                <w:lang w:eastAsia="zh-CN"/>
              </w:rPr>
              <w:t>（三）</w:t>
            </w:r>
            <w:r>
              <w:rPr>
                <w:rFonts w:hint="eastAsia" w:ascii="仿宋_GB2312" w:hAnsi="仿宋_GB2312" w:eastAsia="仿宋_GB2312" w:cs="仿宋_GB2312"/>
                <w:b/>
                <w:bCs/>
                <w:color w:val="auto"/>
                <w:kern w:val="0"/>
                <w:sz w:val="24"/>
                <w:szCs w:val="24"/>
                <w:highlight w:val="none"/>
              </w:rPr>
              <w:t>安全生产与责任界定要求</w:t>
            </w:r>
          </w:p>
          <w:p w14:paraId="7105255E">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rPr>
              <w:t>.严格履行设施设备运行维护安全生产主体责任，建立健全安全生产管理制度、操作规程及岗位责任制（需上墙）；加强对操作人员的安全生产教育、培训及考核，确保全员持证上岗、规范操作；定期开展安全生产检查并做好记录（每月至少1次全面检查），及时纠正违规操作、排除安全隐患。</w:t>
            </w:r>
          </w:p>
          <w:p w14:paraId="28DD720E">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2</w:t>
            </w:r>
            <w:r>
              <w:rPr>
                <w:rFonts w:hint="eastAsia" w:ascii="仿宋_GB2312" w:hAnsi="仿宋_GB2312" w:eastAsia="仿宋_GB2312" w:cs="仿宋_GB2312"/>
                <w:color w:val="auto"/>
                <w:kern w:val="0"/>
                <w:sz w:val="24"/>
                <w:szCs w:val="24"/>
                <w:highlight w:val="none"/>
              </w:rPr>
              <w:t>.若因成交供应商操作不当、维护不及时或管理失职导致设备仪器故障、安全事故发生的，除不可抗力及非供应商责任的人为损坏外，一切法律责任、经济赔偿责任及由此造成的损失均由成交供应商承担；发生事故后，须立即通报采购人，并启动应急处置机制，尽最大人力物力抢救，尽快恢复生产服务，减少对公众环境及周边居民的影响。</w:t>
            </w:r>
          </w:p>
          <w:p w14:paraId="02E593CC">
            <w:pPr>
              <w:wordWrap w:val="0"/>
              <w:spacing w:line="360" w:lineRule="auto"/>
              <w:ind w:firstLine="482" w:firstLineChars="200"/>
              <w:rPr>
                <w:rFonts w:hint="eastAsia" w:ascii="仿宋_GB2312" w:hAnsi="仿宋_GB2312" w:eastAsia="仿宋_GB2312" w:cs="仿宋_GB2312"/>
                <w:b/>
                <w:bCs/>
                <w:color w:val="auto"/>
                <w:kern w:val="0"/>
                <w:sz w:val="24"/>
                <w:szCs w:val="24"/>
                <w:highlight w:val="none"/>
              </w:rPr>
            </w:pPr>
            <w:r>
              <w:rPr>
                <w:rFonts w:hint="eastAsia" w:ascii="仿宋_GB2312" w:hAnsi="仿宋_GB2312" w:eastAsia="仿宋_GB2312" w:cs="仿宋_GB2312"/>
                <w:b/>
                <w:bCs/>
                <w:color w:val="auto"/>
                <w:kern w:val="0"/>
                <w:sz w:val="24"/>
                <w:szCs w:val="24"/>
                <w:highlight w:val="none"/>
                <w:lang w:eastAsia="zh-CN"/>
              </w:rPr>
              <w:t>（四）</w:t>
            </w:r>
            <w:r>
              <w:rPr>
                <w:rFonts w:hint="eastAsia" w:ascii="仿宋_GB2312" w:hAnsi="仿宋_GB2312" w:eastAsia="仿宋_GB2312" w:cs="仿宋_GB2312"/>
                <w:b/>
                <w:bCs/>
                <w:color w:val="auto"/>
                <w:kern w:val="0"/>
                <w:sz w:val="24"/>
                <w:szCs w:val="24"/>
                <w:highlight w:val="none"/>
              </w:rPr>
              <w:t>物资更换与费用界定要求</w:t>
            </w:r>
          </w:p>
          <w:p w14:paraId="2956BEEF">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bookmarkStart w:id="0" w:name="OLE_LINK1"/>
            <w:r>
              <w:rPr>
                <w:rFonts w:hint="eastAsia" w:ascii="仿宋_GB2312" w:hAnsi="仿宋_GB2312" w:eastAsia="仿宋_GB2312" w:cs="仿宋_GB2312"/>
                <w:color w:val="auto"/>
                <w:kern w:val="0"/>
                <w:sz w:val="24"/>
                <w:szCs w:val="24"/>
                <w:highlight w:val="none"/>
              </w:rPr>
              <w:t>污水设施运行过程中，设施设备一般性故障及管网</w:t>
            </w:r>
            <w:r>
              <w:rPr>
                <w:rFonts w:hint="eastAsia" w:ascii="仿宋_GB2312" w:hAnsi="仿宋_GB2312" w:eastAsia="仿宋_GB2312" w:cs="仿宋_GB2312"/>
                <w:color w:val="auto"/>
                <w:kern w:val="0"/>
                <w:sz w:val="24"/>
                <w:szCs w:val="24"/>
                <w:highlight w:val="none"/>
                <w:lang w:eastAsia="zh-CN"/>
              </w:rPr>
              <w:t>损坏</w:t>
            </w:r>
            <w:r>
              <w:rPr>
                <w:rFonts w:hint="eastAsia" w:ascii="仿宋_GB2312" w:hAnsi="仿宋_GB2312" w:eastAsia="仿宋_GB2312" w:cs="仿宋_GB2312"/>
                <w:color w:val="auto"/>
                <w:kern w:val="0"/>
                <w:sz w:val="24"/>
                <w:szCs w:val="24"/>
                <w:highlight w:val="none"/>
              </w:rPr>
              <w:t>等</w:t>
            </w:r>
            <w:r>
              <w:rPr>
                <w:rFonts w:hint="eastAsia" w:ascii="仿宋_GB2312" w:hAnsi="仿宋_GB2312" w:eastAsia="仿宋_GB2312" w:cs="仿宋_GB2312"/>
                <w:color w:val="auto"/>
                <w:kern w:val="0"/>
                <w:sz w:val="24"/>
                <w:szCs w:val="24"/>
                <w:highlight w:val="none"/>
                <w:lang w:eastAsia="zh-CN"/>
              </w:rPr>
              <w:t>情况</w:t>
            </w:r>
            <w:r>
              <w:rPr>
                <w:rFonts w:hint="eastAsia" w:ascii="仿宋_GB2312" w:hAnsi="仿宋_GB2312" w:eastAsia="仿宋_GB2312" w:cs="仿宋_GB2312"/>
                <w:color w:val="auto"/>
                <w:kern w:val="0"/>
                <w:sz w:val="24"/>
                <w:szCs w:val="24"/>
                <w:highlight w:val="none"/>
              </w:rPr>
              <w:t>由供应商自行修复更换，费用包含在合同价内，维修更换费用上限</w:t>
            </w:r>
            <w:r>
              <w:rPr>
                <w:rFonts w:hint="eastAsia" w:ascii="仿宋_GB2312" w:hAnsi="仿宋_GB2312" w:eastAsia="仿宋_GB2312" w:cs="仿宋_GB2312"/>
                <w:color w:val="auto"/>
                <w:kern w:val="0"/>
                <w:sz w:val="24"/>
                <w:szCs w:val="24"/>
                <w:highlight w:val="none"/>
                <w:lang w:eastAsia="zh-CN"/>
              </w:rPr>
              <w:t>6万元</w:t>
            </w:r>
            <w:r>
              <w:rPr>
                <w:rFonts w:hint="eastAsia" w:ascii="仿宋_GB2312" w:hAnsi="仿宋_GB2312" w:eastAsia="仿宋_GB2312" w:cs="仿宋_GB2312"/>
                <w:color w:val="auto"/>
                <w:kern w:val="0"/>
                <w:sz w:val="24"/>
                <w:szCs w:val="24"/>
                <w:highlight w:val="none"/>
              </w:rPr>
              <w:t>/</w:t>
            </w:r>
            <w:r>
              <w:rPr>
                <w:rFonts w:hint="eastAsia" w:ascii="仿宋_GB2312" w:hAnsi="仿宋_GB2312" w:eastAsia="仿宋_GB2312" w:cs="仿宋_GB2312"/>
                <w:color w:val="auto"/>
                <w:kern w:val="0"/>
                <w:sz w:val="24"/>
                <w:szCs w:val="24"/>
                <w:highlight w:val="none"/>
                <w:lang w:eastAsia="zh-CN"/>
              </w:rPr>
              <w:t>年</w:t>
            </w:r>
            <w:r>
              <w:rPr>
                <w:rFonts w:hint="eastAsia" w:ascii="仿宋_GB2312" w:hAnsi="仿宋_GB2312" w:eastAsia="仿宋_GB2312" w:cs="仿宋_GB2312"/>
                <w:color w:val="auto"/>
                <w:kern w:val="0"/>
                <w:sz w:val="24"/>
                <w:szCs w:val="24"/>
                <w:highlight w:val="none"/>
              </w:rPr>
              <w:t>，超出</w:t>
            </w:r>
            <w:r>
              <w:rPr>
                <w:rFonts w:hint="eastAsia" w:ascii="仿宋_GB2312" w:hAnsi="仿宋_GB2312" w:eastAsia="仿宋_GB2312" w:cs="仿宋_GB2312"/>
                <w:color w:val="auto"/>
                <w:kern w:val="0"/>
                <w:sz w:val="24"/>
                <w:szCs w:val="24"/>
                <w:highlight w:val="none"/>
                <w:lang w:eastAsia="zh-CN"/>
              </w:rPr>
              <w:t>6万元</w:t>
            </w:r>
            <w:r>
              <w:rPr>
                <w:rFonts w:hint="eastAsia" w:ascii="仿宋_GB2312" w:hAnsi="仿宋_GB2312" w:eastAsia="仿宋_GB2312" w:cs="仿宋_GB2312"/>
                <w:color w:val="auto"/>
                <w:kern w:val="0"/>
                <w:sz w:val="24"/>
                <w:szCs w:val="24"/>
                <w:highlight w:val="none"/>
              </w:rPr>
              <w:t>/</w:t>
            </w:r>
            <w:r>
              <w:rPr>
                <w:rFonts w:hint="eastAsia" w:ascii="仿宋_GB2312" w:hAnsi="仿宋_GB2312" w:eastAsia="仿宋_GB2312" w:cs="仿宋_GB2312"/>
                <w:color w:val="auto"/>
                <w:kern w:val="0"/>
                <w:sz w:val="24"/>
                <w:szCs w:val="24"/>
                <w:highlight w:val="none"/>
                <w:lang w:eastAsia="zh-CN"/>
              </w:rPr>
              <w:t>年</w:t>
            </w:r>
            <w:r>
              <w:rPr>
                <w:rFonts w:hint="eastAsia" w:ascii="仿宋_GB2312" w:hAnsi="仿宋_GB2312" w:eastAsia="仿宋_GB2312" w:cs="仿宋_GB2312"/>
                <w:color w:val="auto"/>
                <w:kern w:val="0"/>
                <w:sz w:val="24"/>
                <w:szCs w:val="24"/>
                <w:highlight w:val="none"/>
              </w:rPr>
              <w:t>由供应商报采购人，经采购人同意后进行维修或重置，费用由采购人承担，属质保期范围内的设施设备维修或重置费用由设备供应单位承担。</w:t>
            </w:r>
          </w:p>
          <w:bookmarkEnd w:id="0"/>
          <w:p w14:paraId="26300BBF">
            <w:pPr>
              <w:wordWrap w:val="0"/>
              <w:spacing w:line="360" w:lineRule="auto"/>
              <w:ind w:firstLine="482" w:firstLineChars="200"/>
              <w:rPr>
                <w:rFonts w:hint="eastAsia" w:ascii="仿宋_GB2312" w:hAnsi="仿宋_GB2312" w:eastAsia="仿宋_GB2312" w:cs="仿宋_GB2312"/>
                <w:b/>
                <w:bCs/>
                <w:color w:val="auto"/>
                <w:kern w:val="0"/>
                <w:sz w:val="24"/>
                <w:szCs w:val="24"/>
                <w:highlight w:val="none"/>
              </w:rPr>
            </w:pPr>
            <w:r>
              <w:rPr>
                <w:rFonts w:hint="eastAsia" w:ascii="仿宋_GB2312" w:hAnsi="仿宋_GB2312" w:eastAsia="仿宋_GB2312" w:cs="仿宋_GB2312"/>
                <w:b/>
                <w:bCs/>
                <w:color w:val="auto"/>
                <w:kern w:val="0"/>
                <w:sz w:val="24"/>
                <w:szCs w:val="24"/>
                <w:highlight w:val="none"/>
                <w:lang w:eastAsia="zh-CN"/>
              </w:rPr>
              <w:t>（五）</w:t>
            </w:r>
            <w:r>
              <w:rPr>
                <w:rFonts w:hint="eastAsia" w:ascii="仿宋_GB2312" w:hAnsi="仿宋_GB2312" w:eastAsia="仿宋_GB2312" w:cs="仿宋_GB2312"/>
                <w:b/>
                <w:bCs/>
                <w:color w:val="auto"/>
                <w:kern w:val="0"/>
                <w:sz w:val="24"/>
                <w:szCs w:val="24"/>
                <w:highlight w:val="none"/>
              </w:rPr>
              <w:t>运行台账与水质管控要求</w:t>
            </w:r>
          </w:p>
          <w:p w14:paraId="4A5C4373">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rPr>
              <w:t>.严格按照一级B出水标准及国家相关规范，建立健全运行管理台账体系，台账内容须完整、真实、准确，具体包括：设施运转参数（处理量、停留时间、药剂投加量等）、设备维护记录（检修内容、更换配件、保养时间等）、生态养护记录（绿化维护等）、进出水水质水量监测记录等。</w:t>
            </w:r>
          </w:p>
          <w:p w14:paraId="12B1E280">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2</w:t>
            </w:r>
            <w:r>
              <w:rPr>
                <w:rFonts w:hint="eastAsia" w:ascii="仿宋_GB2312" w:hAnsi="仿宋_GB2312" w:eastAsia="仿宋_GB2312" w:cs="仿宋_GB2312"/>
                <w:color w:val="auto"/>
                <w:kern w:val="0"/>
                <w:sz w:val="24"/>
                <w:szCs w:val="24"/>
                <w:highlight w:val="none"/>
              </w:rPr>
              <w:t>.建立日常水质检测与检验制度，按照国家《城镇污水处理厂污染物排放标准》（GB18918-2002）及相关规范要求，明确检测项目（如COD、BOD₅、SS、氨氮、总磷等一级B标准相关指标）、检测频次（进出水水质每周至少1次手工检测，关键指标实时监测），采用标准检测方法开展检测工作；做好检测分析资料、水质报表的汇总、归档工作，定期形成运营总结报告，按要求上报采购人备案。</w:t>
            </w:r>
          </w:p>
          <w:p w14:paraId="7506DBD3">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3</w:t>
            </w:r>
            <w:r>
              <w:rPr>
                <w:rFonts w:hint="eastAsia" w:ascii="仿宋_GB2312" w:hAnsi="仿宋_GB2312" w:eastAsia="仿宋_GB2312" w:cs="仿宋_GB2312"/>
                <w:color w:val="auto"/>
                <w:kern w:val="0"/>
                <w:sz w:val="24"/>
                <w:szCs w:val="24"/>
                <w:highlight w:val="none"/>
              </w:rPr>
              <w:t>.每月5日前（遇节假日顺延）将上月完整台账数据及相关佐证材料（含设备维修表、运营记录表、关键点位现场照片等）上报采购人存档；对提交的所有技术文件、监测数据的真实性、准确性负责。</w:t>
            </w:r>
          </w:p>
          <w:p w14:paraId="5CF662BE">
            <w:pPr>
              <w:wordWrap w:val="0"/>
              <w:spacing w:line="360" w:lineRule="auto"/>
              <w:ind w:firstLine="482" w:firstLineChars="200"/>
              <w:rPr>
                <w:rFonts w:hint="eastAsia" w:ascii="仿宋_GB2312" w:hAnsi="仿宋_GB2312" w:eastAsia="仿宋_GB2312" w:cs="仿宋_GB2312"/>
                <w:b/>
                <w:bCs/>
                <w:color w:val="auto"/>
                <w:kern w:val="0"/>
                <w:sz w:val="24"/>
                <w:szCs w:val="24"/>
                <w:highlight w:val="none"/>
              </w:rPr>
            </w:pPr>
            <w:r>
              <w:rPr>
                <w:rFonts w:hint="eastAsia" w:ascii="仿宋_GB2312" w:hAnsi="仿宋_GB2312" w:eastAsia="仿宋_GB2312" w:cs="仿宋_GB2312"/>
                <w:b/>
                <w:bCs/>
                <w:color w:val="auto"/>
                <w:kern w:val="0"/>
                <w:sz w:val="24"/>
                <w:szCs w:val="24"/>
                <w:highlight w:val="none"/>
                <w:lang w:eastAsia="zh-CN"/>
              </w:rPr>
              <w:t>（六）</w:t>
            </w:r>
            <w:r>
              <w:rPr>
                <w:rFonts w:hint="eastAsia" w:ascii="仿宋_GB2312" w:hAnsi="仿宋_GB2312" w:eastAsia="仿宋_GB2312" w:cs="仿宋_GB2312"/>
                <w:b/>
                <w:bCs/>
                <w:color w:val="auto"/>
                <w:kern w:val="0"/>
                <w:sz w:val="24"/>
                <w:szCs w:val="24"/>
                <w:highlight w:val="none"/>
              </w:rPr>
              <w:t>成果交付与配合要求</w:t>
            </w:r>
          </w:p>
          <w:p w14:paraId="3C4984D7">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rPr>
              <w:t>.服务期内须向采购人交付以下成果资料（均需加盖公章，纸质版及电子版各1份）：① 运营方案（含年度运行计划、季度调整方案）；② 设备维修表（按月汇总）；③ 运营记录表（每日记录，按月汇总）；④ 应急处置预案（含管网故障、水质超标、设备停运等场景）；⑤ 员工培训手册（含安全操作、设备维护、应急处置等内容）；⑥ 年度第三方水质检测报告（每季度至少检测一次，委托具备CMA资质的第三方检测机构出具，检测项目覆盖一级B出水标准全指标）。</w:t>
            </w:r>
          </w:p>
          <w:p w14:paraId="605921A5">
            <w:pPr>
              <w:wordWrap w:val="0"/>
              <w:spacing w:line="360" w:lineRule="auto"/>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2</w:t>
            </w:r>
            <w:r>
              <w:rPr>
                <w:rFonts w:hint="eastAsia" w:ascii="仿宋_GB2312" w:hAnsi="仿宋_GB2312" w:eastAsia="仿宋_GB2312" w:cs="仿宋_GB2312"/>
                <w:color w:val="auto"/>
                <w:kern w:val="0"/>
                <w:sz w:val="24"/>
                <w:szCs w:val="24"/>
                <w:highlight w:val="none"/>
              </w:rPr>
              <w:t>.积极配合采购人及环保、应急、住建等相关部门的检查、采样、监测及资料核查工作，提供必要的工作条件及完整的佐证资料；对检查发现的问题，须在规定时限内完成整改并反馈整改报告。</w:t>
            </w:r>
          </w:p>
          <w:p w14:paraId="0EBEB830">
            <w:pPr>
              <w:wordWrap w:val="0"/>
              <w:spacing w:line="360" w:lineRule="auto"/>
              <w:ind w:firstLine="482" w:firstLineChars="200"/>
              <w:rPr>
                <w:rFonts w:hint="eastAsia" w:ascii="仿宋_GB2312" w:hAnsi="仿宋_GB2312" w:eastAsia="仿宋_GB2312" w:cs="仿宋_GB2312"/>
                <w:b/>
                <w:bCs/>
                <w:color w:val="auto"/>
                <w:kern w:val="0"/>
                <w:sz w:val="24"/>
                <w:szCs w:val="24"/>
                <w:highlight w:val="none"/>
              </w:rPr>
            </w:pPr>
            <w:r>
              <w:rPr>
                <w:rFonts w:hint="eastAsia" w:ascii="仿宋_GB2312" w:hAnsi="仿宋_GB2312" w:eastAsia="仿宋_GB2312" w:cs="仿宋_GB2312"/>
                <w:b/>
                <w:bCs/>
                <w:color w:val="auto"/>
                <w:kern w:val="0"/>
                <w:sz w:val="24"/>
                <w:szCs w:val="24"/>
                <w:highlight w:val="none"/>
                <w:lang w:val="en-US" w:eastAsia="zh-CN"/>
              </w:rPr>
              <w:t>五、运营人员配置</w:t>
            </w:r>
            <w:r>
              <w:rPr>
                <w:rFonts w:hint="eastAsia" w:ascii="仿宋_GB2312" w:hAnsi="仿宋_GB2312" w:eastAsia="仿宋_GB2312" w:cs="仿宋_GB2312"/>
                <w:b/>
                <w:bCs/>
                <w:color w:val="auto"/>
                <w:kern w:val="0"/>
                <w:sz w:val="24"/>
                <w:szCs w:val="24"/>
                <w:highlight w:val="none"/>
              </w:rPr>
              <w:t>要求</w:t>
            </w:r>
          </w:p>
          <w:p w14:paraId="45177710">
            <w:pPr>
              <w:wordWrap w:val="0"/>
              <w:spacing w:line="360" w:lineRule="auto"/>
              <w:ind w:firstLine="480" w:firstLineChars="200"/>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1.沙头镇污水处理厂和六堡镇污水处理厂拟投入日常工作人员（含技术人员）各厂不少于2人（其中1人具有环保工程类专业技术职称或技术证书）。</w:t>
            </w:r>
          </w:p>
          <w:p w14:paraId="102D8CD6">
            <w:pPr>
              <w:wordWrap w:val="0"/>
              <w:spacing w:line="360" w:lineRule="auto"/>
              <w:ind w:firstLine="480" w:firstLineChars="200"/>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2.服务期内，采购人发现供应商实际投入的人员不足以满足项目需要或发现人员不称职时，向供应商发出书面要求增加或更换人员的通知。供应商在收到通知后5个工作日内完成增加或更换相应人员，由此产生的费用由成交供应商自行承担。</w:t>
            </w:r>
          </w:p>
          <w:p w14:paraId="4EC31DBC">
            <w:pPr>
              <w:wordWrap w:val="0"/>
              <w:spacing w:line="360" w:lineRule="auto"/>
              <w:ind w:firstLine="480" w:firstLineChars="200"/>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highlight w:val="none"/>
              </w:rPr>
              <w:t>3. 供应商须依</w:t>
            </w:r>
            <w:r>
              <w:rPr>
                <w:rFonts w:hint="eastAsia" w:ascii="仿宋_GB2312" w:hAnsi="仿宋_GB2312" w:eastAsia="仿宋_GB2312" w:cs="仿宋_GB2312"/>
                <w:color w:val="auto"/>
                <w:kern w:val="0"/>
                <w:sz w:val="24"/>
                <w:szCs w:val="24"/>
                <w:highlight w:val="none"/>
                <w:lang w:val="en-US" w:eastAsia="zh-CN"/>
              </w:rPr>
              <w:t>据《中华人民共和国劳动法》《中华人民共和国劳动合同法</w:t>
            </w:r>
            <w:r>
              <w:rPr>
                <w:rFonts w:hint="eastAsia" w:ascii="仿宋_GB2312" w:hAnsi="仿宋_GB2312" w:eastAsia="仿宋_GB2312" w:cs="仿宋_GB2312"/>
                <w:color w:val="auto"/>
                <w:kern w:val="0"/>
                <w:sz w:val="24"/>
                <w:highlight w:val="none"/>
              </w:rPr>
              <w:t>》等法律规定，按时足额发放本项目人员薪酬（含基本工资、绩效提成、加班费），依法缴纳社会保险，差旅费按约定报销。供应商应依法用工，避免引发劳动纠纷；若因供应商违法用工、欠薪或未参保等导致纠纷，由供应商承担全部责任及损失，并确保不影响项目正常运维。</w:t>
            </w:r>
          </w:p>
          <w:p w14:paraId="169FC4B7">
            <w:pPr>
              <w:wordWrap w:val="0"/>
              <w:spacing w:line="360" w:lineRule="auto"/>
              <w:ind w:firstLine="482" w:firstLineChars="200"/>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b/>
                <w:bCs/>
                <w:color w:val="auto"/>
                <w:kern w:val="0"/>
                <w:sz w:val="24"/>
                <w:szCs w:val="24"/>
                <w:highlight w:val="none"/>
                <w:lang w:val="en-US" w:eastAsia="zh-CN"/>
              </w:rPr>
              <w:t>六、运营考核制度</w:t>
            </w:r>
          </w:p>
          <w:p w14:paraId="4FEE77B0">
            <w:pPr>
              <w:wordWrap w:val="0"/>
              <w:spacing w:line="360" w:lineRule="auto"/>
              <w:ind w:firstLine="480" w:firstLineChars="200"/>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采购人应对成交供应商的考核情况实行评分评价制度，评分周期为每个季度，1个评分周期总分为100分，对运营过程中未满足考核评分表要求的项目予以扣分。考核评分结果与运营服务费挂钩，具体如下：</w:t>
            </w:r>
          </w:p>
          <w:p w14:paraId="334CF352">
            <w:pPr>
              <w:wordWrap w:val="0"/>
              <w:spacing w:line="360" w:lineRule="auto"/>
              <w:ind w:firstLine="480" w:firstLineChars="200"/>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1.考核评分为85分（含）以上，当季度运营服务费全额拨付；</w:t>
            </w:r>
          </w:p>
          <w:p w14:paraId="1B44A483">
            <w:pPr>
              <w:wordWrap w:val="0"/>
              <w:spacing w:line="360" w:lineRule="auto"/>
              <w:ind w:firstLine="480" w:firstLineChars="200"/>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2.考核评分为70（含）-85分（不含），每扣1分，减拨当季度运营服务费全额的1%，扣减额度实行累加；</w:t>
            </w:r>
          </w:p>
          <w:p w14:paraId="22536BE7">
            <w:pPr>
              <w:wordWrap w:val="0"/>
              <w:spacing w:line="360" w:lineRule="auto"/>
              <w:ind w:firstLine="480" w:firstLineChars="200"/>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3.考核评分为60（含）-70 分（不含），运营服务费按当季度运营服务费全额的60％拨付；</w:t>
            </w:r>
          </w:p>
          <w:p w14:paraId="31579AA1">
            <w:pPr>
              <w:wordWrap w:val="0"/>
              <w:spacing w:line="360" w:lineRule="auto"/>
              <w:ind w:firstLine="480" w:firstLineChars="200"/>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4.考核评分在60分（不含）以下，运营服务费按当季度运营服务费全额的50％拨付，成交供应商按采购人要求进行限期整改；未按期完成整改的，采购人有权</w:t>
            </w:r>
            <w:r>
              <w:rPr>
                <w:rFonts w:hint="eastAsia" w:ascii="仿宋_GB2312" w:hAnsi="仿宋_GB2312" w:eastAsia="仿宋_GB2312" w:cs="仿宋_GB2312"/>
                <w:color w:val="auto"/>
                <w:sz w:val="24"/>
                <w:szCs w:val="24"/>
                <w:highlight w:val="none"/>
              </w:rPr>
              <w:t>依法</w:t>
            </w:r>
            <w:r>
              <w:rPr>
                <w:rFonts w:hint="eastAsia" w:ascii="仿宋_GB2312" w:hAnsi="仿宋_GB2312" w:eastAsia="仿宋_GB2312" w:cs="仿宋_GB2312"/>
                <w:color w:val="auto"/>
                <w:kern w:val="0"/>
                <w:sz w:val="24"/>
                <w:szCs w:val="24"/>
                <w:highlight w:val="none"/>
                <w:lang w:val="en-US" w:eastAsia="zh-CN"/>
              </w:rPr>
              <w:t>终止合同。</w:t>
            </w:r>
          </w:p>
        </w:tc>
      </w:tr>
      <w:tr w14:paraId="63F14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711" w:type="dxa"/>
            <w:gridSpan w:val="5"/>
            <w:tcBorders>
              <w:top w:val="single" w:color="000000" w:sz="4" w:space="0"/>
              <w:left w:val="single" w:color="000000" w:sz="4" w:space="0"/>
              <w:bottom w:val="single" w:color="000000" w:sz="4" w:space="0"/>
              <w:right w:val="single" w:color="000000" w:sz="4" w:space="0"/>
            </w:tcBorders>
          </w:tcPr>
          <w:p w14:paraId="535DDBFA">
            <w:pPr>
              <w:widowControl/>
              <w:wordWrap w:val="0"/>
              <w:spacing w:line="360" w:lineRule="auto"/>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▲二、商务要求</w:t>
            </w:r>
          </w:p>
        </w:tc>
      </w:tr>
      <w:tr w14:paraId="0BB46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5" w:type="dxa"/>
            <w:gridSpan w:val="2"/>
            <w:tcBorders>
              <w:top w:val="single" w:color="000000" w:sz="4" w:space="0"/>
              <w:left w:val="single" w:color="000000" w:sz="4" w:space="0"/>
              <w:bottom w:val="single" w:color="000000" w:sz="4" w:space="0"/>
              <w:right w:val="single" w:color="000000" w:sz="4" w:space="0"/>
            </w:tcBorders>
            <w:vAlign w:val="center"/>
          </w:tcPr>
          <w:p w14:paraId="474B0C39">
            <w:pPr>
              <w:wordWrap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合同签订时间</w:t>
            </w:r>
          </w:p>
        </w:tc>
        <w:tc>
          <w:tcPr>
            <w:tcW w:w="7286" w:type="dxa"/>
            <w:gridSpan w:val="3"/>
            <w:tcBorders>
              <w:top w:val="single" w:color="000000" w:sz="4" w:space="0"/>
              <w:left w:val="single" w:color="000000" w:sz="4" w:space="0"/>
              <w:bottom w:val="single" w:color="000000" w:sz="4" w:space="0"/>
              <w:right w:val="single" w:color="000000" w:sz="4" w:space="0"/>
            </w:tcBorders>
            <w:vAlign w:val="center"/>
          </w:tcPr>
          <w:p w14:paraId="67DD016C">
            <w:pPr>
              <w:wordWrap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自成交通知书发出之日起</w:t>
            </w:r>
            <w:r>
              <w:rPr>
                <w:rFonts w:hint="eastAsia" w:ascii="仿宋_GB2312" w:hAnsi="仿宋_GB2312" w:eastAsia="仿宋_GB2312" w:cs="仿宋_GB2312"/>
                <w:color w:val="auto"/>
                <w:sz w:val="24"/>
                <w:szCs w:val="24"/>
                <w:highlight w:val="none"/>
                <w:lang w:val="en-US" w:eastAsia="zh-CN"/>
              </w:rPr>
              <w:t>15</w:t>
            </w:r>
            <w:r>
              <w:rPr>
                <w:rFonts w:hint="eastAsia" w:ascii="仿宋_GB2312" w:hAnsi="仿宋_GB2312" w:eastAsia="仿宋_GB2312" w:cs="仿宋_GB2312"/>
                <w:color w:val="auto"/>
                <w:sz w:val="24"/>
                <w:szCs w:val="24"/>
                <w:highlight w:val="none"/>
                <w:lang w:eastAsia="zh-CN"/>
              </w:rPr>
              <w:t>日</w:t>
            </w:r>
            <w:r>
              <w:rPr>
                <w:rFonts w:hint="eastAsia" w:ascii="仿宋_GB2312" w:hAnsi="仿宋_GB2312" w:eastAsia="仿宋_GB2312" w:cs="仿宋_GB2312"/>
                <w:color w:val="auto"/>
                <w:sz w:val="24"/>
                <w:szCs w:val="24"/>
                <w:highlight w:val="none"/>
              </w:rPr>
              <w:t>内。</w:t>
            </w:r>
          </w:p>
        </w:tc>
      </w:tr>
      <w:tr w14:paraId="2E989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5" w:type="dxa"/>
            <w:gridSpan w:val="2"/>
            <w:tcBorders>
              <w:top w:val="single" w:color="000000" w:sz="4" w:space="0"/>
              <w:left w:val="single" w:color="000000" w:sz="4" w:space="0"/>
              <w:bottom w:val="single" w:color="000000" w:sz="4" w:space="0"/>
              <w:right w:val="single" w:color="000000" w:sz="4" w:space="0"/>
            </w:tcBorders>
            <w:vAlign w:val="center"/>
          </w:tcPr>
          <w:p w14:paraId="6F139B66">
            <w:pPr>
              <w:wordWrap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合同有效期</w:t>
            </w:r>
          </w:p>
        </w:tc>
        <w:tc>
          <w:tcPr>
            <w:tcW w:w="7286" w:type="dxa"/>
            <w:gridSpan w:val="3"/>
            <w:tcBorders>
              <w:top w:val="single" w:color="000000" w:sz="4" w:space="0"/>
              <w:left w:val="single" w:color="000000" w:sz="4" w:space="0"/>
              <w:bottom w:val="single" w:color="000000" w:sz="4" w:space="0"/>
              <w:right w:val="single" w:color="000000" w:sz="4" w:space="0"/>
            </w:tcBorders>
            <w:vAlign w:val="center"/>
          </w:tcPr>
          <w:p w14:paraId="2D96908E">
            <w:pPr>
              <w:wordWrap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合同生效时间自本项目采购合同签订之日起开始执行。</w:t>
            </w:r>
          </w:p>
        </w:tc>
      </w:tr>
      <w:tr w14:paraId="6449D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5" w:type="dxa"/>
            <w:gridSpan w:val="2"/>
            <w:tcBorders>
              <w:top w:val="single" w:color="000000" w:sz="4" w:space="0"/>
              <w:left w:val="single" w:color="000000" w:sz="4" w:space="0"/>
              <w:bottom w:val="single" w:color="000000" w:sz="4" w:space="0"/>
              <w:right w:val="single" w:color="000000" w:sz="4" w:space="0"/>
            </w:tcBorders>
            <w:vAlign w:val="center"/>
          </w:tcPr>
          <w:p w14:paraId="4CB881DF">
            <w:pPr>
              <w:wordWrap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服务期限</w:t>
            </w:r>
            <w:r>
              <w:rPr>
                <w:rFonts w:hint="eastAsia" w:ascii="仿宋_GB2312" w:hAnsi="仿宋_GB2312" w:eastAsia="仿宋_GB2312" w:cs="仿宋_GB2312"/>
                <w:b/>
                <w:color w:val="auto"/>
                <w:kern w:val="0"/>
                <w:sz w:val="24"/>
                <w:szCs w:val="24"/>
                <w:highlight w:val="none"/>
              </w:rPr>
              <w:t>及</w:t>
            </w:r>
            <w:r>
              <w:rPr>
                <w:rFonts w:hint="eastAsia" w:ascii="仿宋_GB2312" w:hAnsi="仿宋_GB2312" w:eastAsia="仿宋_GB2312" w:cs="仿宋_GB2312"/>
                <w:b/>
                <w:color w:val="auto"/>
                <w:sz w:val="24"/>
                <w:szCs w:val="24"/>
                <w:highlight w:val="none"/>
              </w:rPr>
              <w:t>地点</w:t>
            </w:r>
          </w:p>
        </w:tc>
        <w:tc>
          <w:tcPr>
            <w:tcW w:w="7286" w:type="dxa"/>
            <w:gridSpan w:val="3"/>
            <w:tcBorders>
              <w:top w:val="single" w:color="000000" w:sz="4" w:space="0"/>
              <w:left w:val="single" w:color="000000" w:sz="4" w:space="0"/>
              <w:bottom w:val="single" w:color="000000" w:sz="4" w:space="0"/>
              <w:right w:val="single" w:color="000000" w:sz="4" w:space="0"/>
            </w:tcBorders>
            <w:vAlign w:val="center"/>
          </w:tcPr>
          <w:p w14:paraId="3BE55489">
            <w:pPr>
              <w:wordWrap w:val="0"/>
              <w:spacing w:line="360" w:lineRule="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1.服务期限：自签订合同之日起</w:t>
            </w:r>
            <w:r>
              <w:rPr>
                <w:rFonts w:hint="eastAsia" w:ascii="仿宋_GB2312" w:hAnsi="仿宋_GB2312" w:eastAsia="仿宋_GB2312" w:cs="仿宋_GB2312"/>
                <w:color w:val="auto"/>
                <w:kern w:val="0"/>
                <w:sz w:val="24"/>
                <w:szCs w:val="24"/>
                <w:highlight w:val="none"/>
                <w:lang w:val="en-US" w:eastAsia="zh-CN"/>
              </w:rPr>
              <w:t>24</w:t>
            </w:r>
            <w:r>
              <w:rPr>
                <w:rFonts w:hint="eastAsia" w:ascii="仿宋_GB2312" w:hAnsi="仿宋_GB2312" w:eastAsia="仿宋_GB2312" w:cs="仿宋_GB2312"/>
                <w:color w:val="auto"/>
                <w:kern w:val="0"/>
                <w:sz w:val="24"/>
                <w:szCs w:val="24"/>
                <w:highlight w:val="none"/>
              </w:rPr>
              <w:t>个月</w:t>
            </w:r>
            <w:r>
              <w:rPr>
                <w:rFonts w:hint="eastAsia" w:ascii="仿宋_GB2312" w:hAnsi="仿宋_GB2312" w:eastAsia="仿宋_GB2312" w:cs="仿宋_GB2312"/>
                <w:color w:val="auto"/>
                <w:sz w:val="24"/>
                <w:szCs w:val="24"/>
                <w:highlight w:val="none"/>
              </w:rPr>
              <w:t>。</w:t>
            </w:r>
          </w:p>
          <w:p w14:paraId="0A4AD482">
            <w:pPr>
              <w:wordWrap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2.服务</w:t>
            </w:r>
            <w:r>
              <w:rPr>
                <w:rFonts w:hint="eastAsia" w:ascii="仿宋_GB2312" w:hAnsi="仿宋_GB2312" w:eastAsia="仿宋_GB2312" w:cs="仿宋_GB2312"/>
                <w:color w:val="auto"/>
                <w:kern w:val="0"/>
                <w:sz w:val="24"/>
                <w:szCs w:val="24"/>
                <w:highlight w:val="none"/>
              </w:rPr>
              <w:t>地点</w:t>
            </w:r>
            <w:r>
              <w:rPr>
                <w:rFonts w:hint="eastAsia" w:ascii="仿宋_GB2312" w:hAnsi="仿宋_GB2312" w:eastAsia="仿宋_GB2312" w:cs="仿宋_GB2312"/>
                <w:color w:val="auto"/>
                <w:kern w:val="0"/>
                <w:sz w:val="24"/>
                <w:szCs w:val="24"/>
                <w:highlight w:val="none"/>
                <w:lang w:eastAsia="zh-CN"/>
              </w:rPr>
              <w:t>：</w:t>
            </w:r>
            <w:r>
              <w:rPr>
                <w:rFonts w:hint="eastAsia" w:ascii="仿宋_GB2312" w:hAnsi="仿宋_GB2312" w:eastAsia="仿宋_GB2312" w:cs="仿宋_GB2312"/>
                <w:color w:val="auto"/>
                <w:kern w:val="0"/>
                <w:sz w:val="24"/>
                <w:szCs w:val="24"/>
                <w:highlight w:val="none"/>
              </w:rPr>
              <w:t>广西苍梧县沙头镇</w:t>
            </w:r>
            <w:r>
              <w:rPr>
                <w:rFonts w:hint="eastAsia" w:ascii="仿宋_GB2312" w:hAnsi="仿宋_GB2312" w:eastAsia="仿宋_GB2312" w:cs="仿宋_GB2312"/>
                <w:color w:val="auto"/>
                <w:kern w:val="0"/>
                <w:sz w:val="24"/>
                <w:szCs w:val="24"/>
                <w:highlight w:val="none"/>
                <w:lang w:eastAsia="zh-CN"/>
              </w:rPr>
              <w:t>、</w:t>
            </w:r>
            <w:r>
              <w:rPr>
                <w:rFonts w:hint="eastAsia" w:ascii="仿宋_GB2312" w:hAnsi="仿宋_GB2312" w:eastAsia="仿宋_GB2312" w:cs="仿宋_GB2312"/>
                <w:color w:val="auto"/>
                <w:kern w:val="0"/>
                <w:sz w:val="24"/>
                <w:szCs w:val="24"/>
                <w:highlight w:val="none"/>
                <w:lang w:val="en-US" w:eastAsia="zh-CN"/>
              </w:rPr>
              <w:t>六堡镇</w:t>
            </w:r>
            <w:r>
              <w:rPr>
                <w:rFonts w:hint="eastAsia" w:ascii="仿宋_GB2312" w:hAnsi="仿宋_GB2312" w:eastAsia="仿宋_GB2312" w:cs="仿宋_GB2312"/>
                <w:color w:val="auto"/>
                <w:kern w:val="0"/>
                <w:sz w:val="24"/>
                <w:szCs w:val="24"/>
                <w:highlight w:val="none"/>
              </w:rPr>
              <w:t>（采购人指定地点）。</w:t>
            </w:r>
          </w:p>
        </w:tc>
      </w:tr>
      <w:tr w14:paraId="62B37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5" w:type="dxa"/>
            <w:gridSpan w:val="2"/>
            <w:tcBorders>
              <w:top w:val="single" w:color="000000" w:sz="4" w:space="0"/>
              <w:left w:val="single" w:color="000000" w:sz="4" w:space="0"/>
              <w:bottom w:val="single" w:color="000000" w:sz="4" w:space="0"/>
              <w:right w:val="single" w:color="000000" w:sz="4" w:space="0"/>
            </w:tcBorders>
            <w:vAlign w:val="center"/>
          </w:tcPr>
          <w:p w14:paraId="7998E227">
            <w:pPr>
              <w:wordWrap w:val="0"/>
              <w:spacing w:line="440" w:lineRule="exact"/>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bCs/>
                <w:color w:val="auto"/>
                <w:sz w:val="24"/>
                <w:szCs w:val="24"/>
                <w:highlight w:val="none"/>
              </w:rPr>
              <w:t>服务要求</w:t>
            </w:r>
          </w:p>
        </w:tc>
        <w:tc>
          <w:tcPr>
            <w:tcW w:w="7286" w:type="dxa"/>
            <w:gridSpan w:val="3"/>
            <w:tcBorders>
              <w:top w:val="single" w:color="000000" w:sz="4" w:space="0"/>
              <w:left w:val="single" w:color="000000" w:sz="4" w:space="0"/>
              <w:bottom w:val="single" w:color="000000" w:sz="4" w:space="0"/>
              <w:right w:val="single" w:color="000000" w:sz="4" w:space="0"/>
            </w:tcBorders>
            <w:vAlign w:val="center"/>
          </w:tcPr>
          <w:p w14:paraId="61B0EDFA">
            <w:pPr>
              <w:numPr>
                <w:ilvl w:val="0"/>
                <w:numId w:val="1"/>
              </w:numPr>
              <w:wordWrap w:val="0"/>
              <w:spacing w:line="360" w:lineRule="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服务要求响应时间：</w:t>
            </w:r>
          </w:p>
          <w:p w14:paraId="54676182">
            <w:pPr>
              <w:numPr>
                <w:ilvl w:val="0"/>
                <w:numId w:val="0"/>
              </w:numPr>
              <w:wordWrap w:val="0"/>
              <w:spacing w:line="360" w:lineRule="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eastAsia="zh-CN"/>
              </w:rPr>
              <w:t>（</w:t>
            </w: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lang w:eastAsia="zh-CN"/>
              </w:rPr>
              <w:t>）</w:t>
            </w:r>
            <w:r>
              <w:rPr>
                <w:rFonts w:hint="eastAsia" w:ascii="仿宋_GB2312" w:hAnsi="仿宋_GB2312" w:eastAsia="仿宋_GB2312" w:cs="仿宋_GB2312"/>
                <w:color w:val="auto"/>
                <w:kern w:val="0"/>
                <w:sz w:val="24"/>
                <w:szCs w:val="24"/>
                <w:highlight w:val="none"/>
              </w:rPr>
              <w:t>电话咨询</w:t>
            </w:r>
          </w:p>
          <w:p w14:paraId="3C7F6F12">
            <w:pPr>
              <w:wordWrap w:val="0"/>
              <w:spacing w:line="360" w:lineRule="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成交供应商应当为采购人提供技术援助电话，解答采购人遇到的问题</w:t>
            </w:r>
            <w:r>
              <w:rPr>
                <w:rFonts w:hint="eastAsia" w:ascii="仿宋_GB2312" w:hAnsi="仿宋_GB2312" w:eastAsia="仿宋_GB2312" w:cs="仿宋_GB2312"/>
                <w:color w:val="auto"/>
                <w:kern w:val="0"/>
                <w:sz w:val="24"/>
                <w:szCs w:val="24"/>
                <w:highlight w:val="none"/>
                <w:lang w:eastAsia="zh-CN"/>
              </w:rPr>
              <w:t>，在</w:t>
            </w:r>
            <w:r>
              <w:rPr>
                <w:rFonts w:hint="eastAsia" w:ascii="仿宋_GB2312" w:hAnsi="仿宋_GB2312" w:eastAsia="仿宋_GB2312" w:cs="仿宋_GB2312"/>
                <w:color w:val="auto"/>
                <w:kern w:val="0"/>
                <w:sz w:val="24"/>
                <w:szCs w:val="24"/>
                <w:highlight w:val="none"/>
                <w:lang w:val="en-US" w:eastAsia="zh-CN"/>
              </w:rPr>
              <w:t>1小时内</w:t>
            </w:r>
            <w:r>
              <w:rPr>
                <w:rFonts w:hint="eastAsia" w:ascii="仿宋_GB2312" w:hAnsi="仿宋_GB2312" w:eastAsia="仿宋_GB2312" w:cs="仿宋_GB2312"/>
                <w:color w:val="auto"/>
                <w:kern w:val="0"/>
                <w:sz w:val="24"/>
                <w:szCs w:val="24"/>
                <w:highlight w:val="none"/>
              </w:rPr>
              <w:t>为采购人提出解决问题的建议。</w:t>
            </w:r>
          </w:p>
          <w:p w14:paraId="30B625CE">
            <w:pPr>
              <w:wordWrap w:val="0"/>
              <w:spacing w:line="360" w:lineRule="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eastAsia="zh-CN"/>
              </w:rPr>
              <w:t>（</w:t>
            </w:r>
            <w:r>
              <w:rPr>
                <w:rFonts w:hint="eastAsia" w:ascii="仿宋_GB2312" w:hAnsi="仿宋_GB2312" w:eastAsia="仿宋_GB2312" w:cs="仿宋_GB2312"/>
                <w:color w:val="auto"/>
                <w:kern w:val="0"/>
                <w:sz w:val="24"/>
                <w:szCs w:val="24"/>
                <w:highlight w:val="none"/>
                <w:lang w:val="en-US" w:eastAsia="zh-CN"/>
              </w:rPr>
              <w:t>2</w:t>
            </w:r>
            <w:r>
              <w:rPr>
                <w:rFonts w:hint="eastAsia" w:ascii="仿宋_GB2312" w:hAnsi="仿宋_GB2312" w:eastAsia="仿宋_GB2312" w:cs="仿宋_GB2312"/>
                <w:color w:val="auto"/>
                <w:kern w:val="0"/>
                <w:sz w:val="24"/>
                <w:szCs w:val="24"/>
                <w:highlight w:val="none"/>
                <w:lang w:eastAsia="zh-CN"/>
              </w:rPr>
              <w:t>）</w:t>
            </w:r>
            <w:r>
              <w:rPr>
                <w:rFonts w:hint="eastAsia" w:ascii="仿宋_GB2312" w:hAnsi="仿宋_GB2312" w:eastAsia="仿宋_GB2312" w:cs="仿宋_GB2312"/>
                <w:color w:val="auto"/>
                <w:kern w:val="0"/>
                <w:sz w:val="24"/>
                <w:szCs w:val="24"/>
                <w:highlight w:val="none"/>
              </w:rPr>
              <w:t>现场响应</w:t>
            </w:r>
          </w:p>
          <w:p w14:paraId="05D5C2F9">
            <w:pPr>
              <w:wordWrap w:val="0"/>
              <w:spacing w:line="360" w:lineRule="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①</w:t>
            </w:r>
            <w:r>
              <w:rPr>
                <w:rFonts w:hint="eastAsia" w:ascii="仿宋_GB2312" w:hAnsi="仿宋_GB2312" w:eastAsia="仿宋_GB2312" w:cs="仿宋_GB2312"/>
                <w:color w:val="auto"/>
                <w:kern w:val="0"/>
                <w:sz w:val="24"/>
                <w:szCs w:val="24"/>
                <w:highlight w:val="none"/>
              </w:rPr>
              <w:t>接到采购人通知后，供应商</w:t>
            </w:r>
            <w:r>
              <w:rPr>
                <w:rFonts w:hint="eastAsia" w:ascii="仿宋_GB2312" w:hAnsi="仿宋_GB2312" w:eastAsia="仿宋_GB2312" w:cs="仿宋_GB2312"/>
                <w:color w:val="auto"/>
                <w:kern w:val="0"/>
                <w:sz w:val="24"/>
                <w:szCs w:val="24"/>
                <w:highlight w:val="none"/>
                <w:lang w:val="en-US" w:eastAsia="zh-CN"/>
              </w:rPr>
              <w:t>技术</w:t>
            </w:r>
            <w:r>
              <w:rPr>
                <w:rFonts w:hint="eastAsia" w:ascii="仿宋_GB2312" w:hAnsi="仿宋_GB2312" w:eastAsia="仿宋_GB2312" w:cs="仿宋_GB2312"/>
                <w:color w:val="auto"/>
                <w:kern w:val="0"/>
                <w:sz w:val="24"/>
                <w:szCs w:val="24"/>
                <w:highlight w:val="none"/>
              </w:rPr>
              <w:t>人员能在24小时内到达现场处理问题。</w:t>
            </w:r>
          </w:p>
          <w:p w14:paraId="6480A98D">
            <w:pPr>
              <w:wordWrap w:val="0"/>
              <w:spacing w:line="360" w:lineRule="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②</w:t>
            </w:r>
            <w:r>
              <w:rPr>
                <w:rFonts w:hint="eastAsia" w:ascii="仿宋_GB2312" w:hAnsi="仿宋_GB2312" w:eastAsia="仿宋_GB2312" w:cs="仿宋_GB2312"/>
                <w:color w:val="auto"/>
                <w:kern w:val="0"/>
                <w:sz w:val="24"/>
                <w:szCs w:val="24"/>
                <w:highlight w:val="none"/>
              </w:rPr>
              <w:t>因供应商管理不善导致的人身损害或财产损失等安全问题，造成的经济损失由供应商承担。</w:t>
            </w:r>
          </w:p>
          <w:p w14:paraId="52F074E7">
            <w:pPr>
              <w:wordWrap w:val="0"/>
              <w:spacing w:line="360" w:lineRule="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2.</w:t>
            </w:r>
            <w:r>
              <w:rPr>
                <w:rFonts w:hint="eastAsia" w:ascii="仿宋_GB2312" w:hAnsi="仿宋_GB2312" w:eastAsia="仿宋_GB2312" w:cs="仿宋_GB2312"/>
                <w:color w:val="auto"/>
                <w:kern w:val="0"/>
                <w:sz w:val="24"/>
                <w:szCs w:val="24"/>
                <w:highlight w:val="none"/>
              </w:rPr>
              <w:t>每月向采购人汇报运营情况不低于1次。</w:t>
            </w:r>
          </w:p>
          <w:p w14:paraId="40681D67">
            <w:pPr>
              <w:wordWrap w:val="0"/>
              <w:spacing w:line="360" w:lineRule="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3.如有上级部门检查，成交供应商必须有</w:t>
            </w:r>
            <w:r>
              <w:rPr>
                <w:rFonts w:hint="eastAsia" w:ascii="仿宋_GB2312" w:hAnsi="仿宋_GB2312" w:eastAsia="仿宋_GB2312" w:cs="仿宋_GB2312"/>
                <w:color w:val="auto"/>
                <w:kern w:val="0"/>
                <w:sz w:val="24"/>
                <w:szCs w:val="24"/>
                <w:highlight w:val="none"/>
                <w:lang w:eastAsia="zh-CN"/>
              </w:rPr>
              <w:t>技术</w:t>
            </w:r>
            <w:r>
              <w:rPr>
                <w:rFonts w:hint="eastAsia" w:ascii="仿宋_GB2312" w:hAnsi="仿宋_GB2312" w:eastAsia="仿宋_GB2312" w:cs="仿宋_GB2312"/>
                <w:color w:val="auto"/>
                <w:kern w:val="0"/>
                <w:sz w:val="24"/>
                <w:szCs w:val="24"/>
                <w:highlight w:val="none"/>
              </w:rPr>
              <w:t>人员在场。</w:t>
            </w:r>
          </w:p>
          <w:p w14:paraId="3D407547">
            <w:pPr>
              <w:wordWrap w:val="0"/>
              <w:spacing w:line="360" w:lineRule="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kern w:val="0"/>
                <w:sz w:val="24"/>
                <w:szCs w:val="24"/>
                <w:highlight w:val="none"/>
              </w:rPr>
              <w:t>4.备品备件及耗材等要求：配备交通工具。零部件、污水处理设施的相关设备及排污管网维护、配件及安装材料，</w:t>
            </w:r>
            <w:r>
              <w:rPr>
                <w:rFonts w:hint="eastAsia" w:ascii="仿宋_GB2312" w:hAnsi="仿宋_GB2312" w:eastAsia="仿宋_GB2312" w:cs="仿宋_GB2312"/>
                <w:color w:val="auto"/>
                <w:kern w:val="0"/>
                <w:sz w:val="24"/>
                <w:szCs w:val="24"/>
                <w:highlight w:val="none"/>
                <w:lang w:eastAsia="zh-CN"/>
              </w:rPr>
              <w:t>应</w:t>
            </w:r>
            <w:r>
              <w:rPr>
                <w:rFonts w:hint="eastAsia" w:ascii="仿宋_GB2312" w:hAnsi="仿宋_GB2312" w:eastAsia="仿宋_GB2312" w:cs="仿宋_GB2312"/>
                <w:color w:val="auto"/>
                <w:kern w:val="0"/>
                <w:sz w:val="24"/>
                <w:szCs w:val="24"/>
                <w:highlight w:val="none"/>
              </w:rPr>
              <w:t>符合国家相关质量标准</w:t>
            </w:r>
            <w:r>
              <w:rPr>
                <w:rFonts w:hint="eastAsia" w:ascii="仿宋_GB2312" w:hAnsi="仿宋_GB2312" w:eastAsia="仿宋_GB2312" w:cs="仿宋_GB2312"/>
                <w:bCs/>
                <w:color w:val="auto"/>
                <w:sz w:val="24"/>
                <w:szCs w:val="24"/>
                <w:highlight w:val="none"/>
              </w:rPr>
              <w:t>。</w:t>
            </w:r>
          </w:p>
          <w:p w14:paraId="73DF4189">
            <w:pPr>
              <w:wordWrap w:val="0"/>
              <w:spacing w:line="440" w:lineRule="exact"/>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bCs/>
                <w:color w:val="auto"/>
                <w:sz w:val="24"/>
                <w:szCs w:val="24"/>
                <w:highlight w:val="none"/>
              </w:rPr>
              <w:t>5.成交供应商必须依据国家现行的有关规范、标准、规程和设备现行标准、规程，对委托内容进行如实检查和维护，对存在问题提出解决方案，完善设备设施，处理解决存在的故障、问题、安全隐患，保障设备的安全正常运行。</w:t>
            </w:r>
          </w:p>
        </w:tc>
      </w:tr>
      <w:tr w14:paraId="36B7E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5" w:type="dxa"/>
            <w:gridSpan w:val="2"/>
            <w:tcBorders>
              <w:top w:val="single" w:color="000000" w:sz="4" w:space="0"/>
              <w:left w:val="single" w:color="000000" w:sz="4" w:space="0"/>
              <w:bottom w:val="single" w:color="000000" w:sz="4" w:space="0"/>
              <w:right w:val="single" w:color="000000" w:sz="4" w:space="0"/>
            </w:tcBorders>
            <w:vAlign w:val="center"/>
          </w:tcPr>
          <w:p w14:paraId="23BB57A7">
            <w:pPr>
              <w:wordWrap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报价要求</w:t>
            </w:r>
          </w:p>
        </w:tc>
        <w:tc>
          <w:tcPr>
            <w:tcW w:w="7286" w:type="dxa"/>
            <w:gridSpan w:val="3"/>
            <w:tcBorders>
              <w:top w:val="single" w:color="000000" w:sz="4" w:space="0"/>
              <w:left w:val="single" w:color="000000" w:sz="4" w:space="0"/>
              <w:bottom w:val="single" w:color="000000" w:sz="4" w:space="0"/>
              <w:right w:val="single" w:color="000000" w:sz="4" w:space="0"/>
            </w:tcBorders>
            <w:vAlign w:val="center"/>
          </w:tcPr>
          <w:p w14:paraId="79D131B3">
            <w:pPr>
              <w:wordWrap w:val="0"/>
              <w:spacing w:line="440" w:lineRule="exact"/>
              <w:rPr>
                <w:rFonts w:hint="eastAsia" w:ascii="仿宋_GB2312" w:hAnsi="仿宋_GB2312" w:eastAsia="仿宋_GB2312" w:cs="仿宋_GB2312"/>
                <w:bCs/>
                <w:color w:val="auto"/>
                <w:sz w:val="24"/>
                <w:szCs w:val="24"/>
                <w:highlight w:val="none"/>
                <w:lang w:eastAsia="zh-CN"/>
              </w:rPr>
            </w:pPr>
            <w:r>
              <w:rPr>
                <w:rFonts w:hint="eastAsia" w:ascii="仿宋_GB2312" w:hAnsi="仿宋_GB2312" w:eastAsia="仿宋_GB2312" w:cs="仿宋_GB2312"/>
                <w:bCs/>
                <w:color w:val="auto"/>
                <w:sz w:val="24"/>
                <w:szCs w:val="24"/>
                <w:highlight w:val="none"/>
              </w:rPr>
              <w:t>报价必须包含但不限于全部的住宿费、伙食费、交通费、劳务费、劳保费、电力消耗、日常用水药剂费、栅渣及污泥处置费、日常水质化验费、第三方水质监测费（每季度</w:t>
            </w:r>
            <w:r>
              <w:rPr>
                <w:rFonts w:hint="eastAsia" w:ascii="仿宋_GB2312" w:hAnsi="仿宋_GB2312" w:eastAsia="仿宋_GB2312" w:cs="仿宋_GB2312"/>
                <w:bCs/>
                <w:color w:val="auto"/>
                <w:sz w:val="24"/>
                <w:szCs w:val="24"/>
                <w:highlight w:val="none"/>
                <w:lang w:eastAsia="zh-CN"/>
              </w:rPr>
              <w:t>至少</w:t>
            </w:r>
            <w:r>
              <w:rPr>
                <w:rFonts w:hint="eastAsia" w:ascii="仿宋_GB2312" w:hAnsi="仿宋_GB2312" w:eastAsia="仿宋_GB2312" w:cs="仿宋_GB2312"/>
                <w:bCs/>
                <w:color w:val="auto"/>
                <w:sz w:val="24"/>
                <w:szCs w:val="24"/>
                <w:highlight w:val="none"/>
              </w:rPr>
              <w:t>检测一次）、设备日常维护费、管网日常维护费、在线监测设备运维费、管理费、利润、各项税金等费用</w:t>
            </w:r>
            <w:r>
              <w:rPr>
                <w:rFonts w:hint="eastAsia" w:ascii="仿宋_GB2312" w:hAnsi="仿宋_GB2312" w:eastAsia="仿宋_GB2312" w:cs="仿宋_GB2312"/>
                <w:bCs/>
                <w:color w:val="auto"/>
                <w:sz w:val="24"/>
                <w:szCs w:val="24"/>
                <w:highlight w:val="none"/>
                <w:lang w:eastAsia="zh-CN"/>
              </w:rPr>
              <w:t>。</w:t>
            </w:r>
          </w:p>
          <w:p w14:paraId="0ED81715">
            <w:pPr>
              <w:wordWrap w:val="0"/>
              <w:spacing w:line="440" w:lineRule="exact"/>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其中：</w:t>
            </w:r>
          </w:p>
          <w:p w14:paraId="19712E0D">
            <w:pPr>
              <w:wordWrap w:val="0"/>
              <w:spacing w:line="44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1.</w:t>
            </w:r>
            <w:r>
              <w:rPr>
                <w:rFonts w:hint="eastAsia" w:ascii="仿宋_GB2312" w:hAnsi="仿宋_GB2312" w:eastAsia="仿宋_GB2312" w:cs="仿宋_GB2312"/>
                <w:bCs/>
                <w:color w:val="auto"/>
                <w:sz w:val="24"/>
                <w:szCs w:val="24"/>
                <w:highlight w:val="none"/>
              </w:rPr>
              <w:t>在线监测设备运维费包含进出水在线监测设备运维。</w:t>
            </w:r>
          </w:p>
          <w:p w14:paraId="3857D372">
            <w:pPr>
              <w:wordWrap w:val="0"/>
              <w:spacing w:line="440" w:lineRule="exact"/>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r>
              <w:rPr>
                <w:rFonts w:hint="eastAsia" w:ascii="仿宋_GB2312" w:hAnsi="仿宋_GB2312" w:eastAsia="仿宋_GB2312" w:cs="仿宋_GB2312"/>
                <w:bCs/>
                <w:color w:val="auto"/>
                <w:sz w:val="24"/>
                <w:szCs w:val="24"/>
                <w:highlight w:val="none"/>
              </w:rPr>
              <w:t>设施设备一般性故障由成交供应商自行修复，费用包含在合同价内，污水处理厂一般性故障维修费用上限</w:t>
            </w:r>
            <w:r>
              <w:rPr>
                <w:rFonts w:hint="eastAsia" w:ascii="仿宋_GB2312" w:hAnsi="仿宋_GB2312" w:eastAsia="仿宋_GB2312" w:cs="仿宋_GB2312"/>
                <w:color w:val="auto"/>
                <w:kern w:val="0"/>
                <w:sz w:val="24"/>
                <w:szCs w:val="24"/>
                <w:highlight w:val="none"/>
                <w:lang w:eastAsia="zh-CN"/>
              </w:rPr>
              <w:t>6万元</w:t>
            </w:r>
            <w:r>
              <w:rPr>
                <w:rFonts w:hint="eastAsia" w:ascii="仿宋_GB2312" w:hAnsi="仿宋_GB2312" w:eastAsia="仿宋_GB2312" w:cs="仿宋_GB2312"/>
                <w:color w:val="auto"/>
                <w:kern w:val="0"/>
                <w:sz w:val="24"/>
                <w:szCs w:val="24"/>
                <w:highlight w:val="none"/>
              </w:rPr>
              <w:t>/</w:t>
            </w:r>
            <w:r>
              <w:rPr>
                <w:rFonts w:hint="eastAsia" w:ascii="仿宋_GB2312" w:hAnsi="仿宋_GB2312" w:eastAsia="仿宋_GB2312" w:cs="仿宋_GB2312"/>
                <w:color w:val="auto"/>
                <w:kern w:val="0"/>
                <w:sz w:val="24"/>
                <w:szCs w:val="24"/>
                <w:highlight w:val="none"/>
                <w:lang w:eastAsia="zh-CN"/>
              </w:rPr>
              <w:t>年</w:t>
            </w:r>
            <w:r>
              <w:rPr>
                <w:rFonts w:hint="eastAsia" w:ascii="仿宋_GB2312" w:hAnsi="仿宋_GB2312" w:eastAsia="仿宋_GB2312" w:cs="仿宋_GB2312"/>
                <w:bCs/>
                <w:color w:val="auto"/>
                <w:sz w:val="24"/>
                <w:szCs w:val="24"/>
                <w:highlight w:val="none"/>
              </w:rPr>
              <w:t>，超出</w:t>
            </w:r>
            <w:r>
              <w:rPr>
                <w:rFonts w:hint="eastAsia" w:ascii="仿宋_GB2312" w:hAnsi="仿宋_GB2312" w:eastAsia="仿宋_GB2312" w:cs="仿宋_GB2312"/>
                <w:color w:val="auto"/>
                <w:kern w:val="0"/>
                <w:sz w:val="24"/>
                <w:szCs w:val="24"/>
                <w:highlight w:val="none"/>
                <w:lang w:eastAsia="zh-CN"/>
              </w:rPr>
              <w:t>6万元</w:t>
            </w:r>
            <w:r>
              <w:rPr>
                <w:rFonts w:hint="eastAsia" w:ascii="仿宋_GB2312" w:hAnsi="仿宋_GB2312" w:eastAsia="仿宋_GB2312" w:cs="仿宋_GB2312"/>
                <w:color w:val="auto"/>
                <w:kern w:val="0"/>
                <w:sz w:val="24"/>
                <w:szCs w:val="24"/>
                <w:highlight w:val="none"/>
              </w:rPr>
              <w:t>/</w:t>
            </w:r>
            <w:r>
              <w:rPr>
                <w:rFonts w:hint="eastAsia" w:ascii="仿宋_GB2312" w:hAnsi="仿宋_GB2312" w:eastAsia="仿宋_GB2312" w:cs="仿宋_GB2312"/>
                <w:color w:val="auto"/>
                <w:kern w:val="0"/>
                <w:sz w:val="24"/>
                <w:szCs w:val="24"/>
                <w:highlight w:val="none"/>
                <w:lang w:eastAsia="zh-CN"/>
              </w:rPr>
              <w:t>年</w:t>
            </w:r>
            <w:r>
              <w:rPr>
                <w:rFonts w:hint="eastAsia" w:ascii="仿宋_GB2312" w:hAnsi="仿宋_GB2312" w:eastAsia="仿宋_GB2312" w:cs="仿宋_GB2312"/>
                <w:bCs/>
                <w:color w:val="auto"/>
                <w:sz w:val="24"/>
                <w:szCs w:val="24"/>
                <w:highlight w:val="none"/>
              </w:rPr>
              <w:t>由成交供应商报采购人，经采购人同意后进行维修或重置，费用由采购人承担，</w:t>
            </w:r>
            <w:r>
              <w:rPr>
                <w:rFonts w:hint="eastAsia" w:ascii="仿宋_GB2312" w:hAnsi="仿宋_GB2312" w:eastAsia="仿宋_GB2312" w:cs="仿宋_GB2312"/>
                <w:bCs/>
                <w:color w:val="auto"/>
                <w:sz w:val="24"/>
                <w:szCs w:val="24"/>
                <w:highlight w:val="none"/>
                <w:lang w:eastAsia="zh-CN"/>
              </w:rPr>
              <w:t>属于</w:t>
            </w:r>
            <w:r>
              <w:rPr>
                <w:rFonts w:hint="eastAsia" w:ascii="仿宋_GB2312" w:hAnsi="仿宋_GB2312" w:eastAsia="仿宋_GB2312" w:cs="仿宋_GB2312"/>
                <w:bCs/>
                <w:color w:val="auto"/>
                <w:sz w:val="24"/>
                <w:szCs w:val="24"/>
                <w:highlight w:val="none"/>
              </w:rPr>
              <w:t>质保期范围内的设施设备维修或重置费用由设备供应单位承担</w:t>
            </w:r>
            <w:r>
              <w:rPr>
                <w:rFonts w:hint="eastAsia" w:ascii="仿宋_GB2312" w:hAnsi="仿宋_GB2312" w:eastAsia="仿宋_GB2312" w:cs="仿宋_GB2312"/>
                <w:bCs/>
                <w:color w:val="auto"/>
                <w:sz w:val="24"/>
                <w:szCs w:val="24"/>
                <w:highlight w:val="none"/>
                <w:lang w:eastAsia="zh-CN"/>
              </w:rPr>
              <w:t>。</w:t>
            </w:r>
          </w:p>
        </w:tc>
      </w:tr>
      <w:tr w14:paraId="1534C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5" w:type="dxa"/>
            <w:gridSpan w:val="2"/>
            <w:tcBorders>
              <w:top w:val="single" w:color="000000" w:sz="4" w:space="0"/>
              <w:left w:val="single" w:color="000000" w:sz="4" w:space="0"/>
              <w:bottom w:val="single" w:color="000000" w:sz="4" w:space="0"/>
              <w:right w:val="single" w:color="000000" w:sz="4" w:space="0"/>
            </w:tcBorders>
            <w:vAlign w:val="center"/>
          </w:tcPr>
          <w:p w14:paraId="4456B74D">
            <w:pPr>
              <w:wordWrap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付款方式</w:t>
            </w:r>
          </w:p>
        </w:tc>
        <w:tc>
          <w:tcPr>
            <w:tcW w:w="7286" w:type="dxa"/>
            <w:gridSpan w:val="3"/>
            <w:tcBorders>
              <w:top w:val="single" w:color="000000" w:sz="4" w:space="0"/>
              <w:left w:val="single" w:color="000000" w:sz="4" w:space="0"/>
              <w:bottom w:val="single" w:color="000000" w:sz="4" w:space="0"/>
              <w:right w:val="single" w:color="000000" w:sz="4" w:space="0"/>
            </w:tcBorders>
            <w:vAlign w:val="center"/>
          </w:tcPr>
          <w:p w14:paraId="0739CD8B">
            <w:pPr>
              <w:wordWrap w:val="0"/>
              <w:spacing w:line="44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本</w:t>
            </w:r>
            <w:r>
              <w:rPr>
                <w:rFonts w:hint="eastAsia" w:ascii="仿宋_GB2312" w:hAnsi="仿宋_GB2312" w:eastAsia="仿宋_GB2312" w:cs="仿宋_GB2312"/>
                <w:bCs/>
                <w:color w:val="auto"/>
                <w:sz w:val="24"/>
                <w:szCs w:val="24"/>
                <w:highlight w:val="none"/>
              </w:rPr>
              <w:t>项目无预付款，每季度结束后，成交供应商于</w:t>
            </w:r>
            <w:r>
              <w:rPr>
                <w:rFonts w:hint="eastAsia" w:ascii="仿宋_GB2312" w:hAnsi="仿宋_GB2312" w:eastAsia="仿宋_GB2312" w:cs="仿宋_GB2312"/>
                <w:bCs/>
                <w:color w:val="auto"/>
                <w:sz w:val="24"/>
                <w:szCs w:val="24"/>
                <w:highlight w:val="none"/>
                <w:lang w:eastAsia="zh-CN"/>
              </w:rPr>
              <w:t>下一</w:t>
            </w:r>
            <w:r>
              <w:rPr>
                <w:rFonts w:hint="eastAsia" w:ascii="仿宋_GB2312" w:hAnsi="仿宋_GB2312" w:eastAsia="仿宋_GB2312" w:cs="仿宋_GB2312"/>
                <w:bCs/>
                <w:color w:val="auto"/>
                <w:sz w:val="24"/>
                <w:szCs w:val="24"/>
                <w:highlight w:val="none"/>
              </w:rPr>
              <w:t>季度第一个月的5日前将上个季度的《运营服务费付款申请》资料报采购人进行审核。</w:t>
            </w:r>
          </w:p>
          <w:p w14:paraId="5A46E59A">
            <w:pPr>
              <w:wordWrap w:val="0"/>
              <w:spacing w:line="440" w:lineRule="exac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Cs/>
                <w:color w:val="auto"/>
                <w:sz w:val="24"/>
                <w:szCs w:val="24"/>
                <w:highlight w:val="none"/>
                <w:lang w:val="en-US" w:eastAsia="zh-CN"/>
              </w:rPr>
              <w:t>2.</w:t>
            </w:r>
            <w:r>
              <w:rPr>
                <w:rFonts w:hint="eastAsia" w:ascii="仿宋_GB2312" w:hAnsi="仿宋_GB2312" w:eastAsia="仿宋_GB2312" w:cs="仿宋_GB2312"/>
                <w:bCs/>
                <w:color w:val="auto"/>
                <w:sz w:val="24"/>
                <w:szCs w:val="24"/>
                <w:highlight w:val="none"/>
              </w:rPr>
              <w:t>采购人对成交供应商递交的《运营服务费付款申请》资料有异议的，先按递交《运营服务费付款申请》资料</w:t>
            </w:r>
            <w:r>
              <w:rPr>
                <w:rFonts w:hint="eastAsia" w:ascii="仿宋_GB2312" w:hAnsi="仿宋_GB2312" w:eastAsia="仿宋_GB2312" w:cs="仿宋_GB2312"/>
                <w:bCs/>
                <w:color w:val="auto"/>
                <w:sz w:val="24"/>
                <w:szCs w:val="24"/>
                <w:highlight w:val="none"/>
                <w:lang w:val="en-US" w:eastAsia="zh-CN"/>
              </w:rPr>
              <w:t>中申请</w:t>
            </w:r>
            <w:r>
              <w:rPr>
                <w:rFonts w:hint="eastAsia" w:ascii="仿宋_GB2312" w:hAnsi="仿宋_GB2312" w:eastAsia="仿宋_GB2312" w:cs="仿宋_GB2312"/>
                <w:bCs/>
                <w:color w:val="auto"/>
                <w:sz w:val="24"/>
                <w:szCs w:val="24"/>
                <w:highlight w:val="none"/>
              </w:rPr>
              <w:t>金额的80%支付，并且双方在</w:t>
            </w:r>
            <w:r>
              <w:rPr>
                <w:rFonts w:hint="eastAsia" w:ascii="仿宋_GB2312" w:hAnsi="仿宋_GB2312" w:eastAsia="仿宋_GB2312" w:cs="仿宋_GB2312"/>
                <w:bCs/>
                <w:color w:val="auto"/>
                <w:sz w:val="24"/>
                <w:szCs w:val="24"/>
                <w:highlight w:val="none"/>
                <w:lang w:val="en-US" w:eastAsia="zh-CN"/>
              </w:rPr>
              <w:t>10</w:t>
            </w:r>
            <w:r>
              <w:rPr>
                <w:rFonts w:hint="eastAsia" w:ascii="仿宋_GB2312" w:hAnsi="仿宋_GB2312" w:eastAsia="仿宋_GB2312" w:cs="仿宋_GB2312"/>
                <w:bCs/>
                <w:color w:val="auto"/>
                <w:sz w:val="24"/>
                <w:szCs w:val="24"/>
                <w:highlight w:val="none"/>
              </w:rPr>
              <w:t>个</w:t>
            </w:r>
            <w:r>
              <w:rPr>
                <w:rFonts w:hint="eastAsia" w:ascii="仿宋_GB2312" w:hAnsi="仿宋_GB2312" w:eastAsia="仿宋_GB2312" w:cs="仿宋_GB2312"/>
                <w:bCs/>
                <w:color w:val="auto"/>
                <w:sz w:val="24"/>
                <w:szCs w:val="24"/>
                <w:highlight w:val="none"/>
                <w:lang w:eastAsia="zh-CN"/>
              </w:rPr>
              <w:t>工作</w:t>
            </w:r>
            <w:r>
              <w:rPr>
                <w:rFonts w:hint="eastAsia" w:ascii="仿宋_GB2312" w:hAnsi="仿宋_GB2312" w:eastAsia="仿宋_GB2312" w:cs="仿宋_GB2312"/>
                <w:bCs/>
                <w:color w:val="auto"/>
                <w:sz w:val="24"/>
                <w:szCs w:val="24"/>
                <w:highlight w:val="none"/>
              </w:rPr>
              <w:t>日内对</w:t>
            </w:r>
            <w:r>
              <w:rPr>
                <w:rFonts w:hint="eastAsia" w:ascii="仿宋_GB2312" w:hAnsi="仿宋_GB2312" w:eastAsia="仿宋_GB2312" w:cs="仿宋_GB2312"/>
                <w:bCs/>
                <w:color w:val="auto"/>
                <w:sz w:val="24"/>
                <w:szCs w:val="24"/>
                <w:highlight w:val="none"/>
                <w:lang w:val="en-US" w:eastAsia="zh-CN"/>
              </w:rPr>
              <w:t>考核结果</w:t>
            </w:r>
            <w:r>
              <w:rPr>
                <w:rFonts w:hint="eastAsia" w:ascii="仿宋_GB2312" w:hAnsi="仿宋_GB2312" w:eastAsia="仿宋_GB2312" w:cs="仿宋_GB2312"/>
                <w:bCs/>
                <w:color w:val="auto"/>
                <w:sz w:val="24"/>
                <w:szCs w:val="24"/>
                <w:highlight w:val="none"/>
              </w:rPr>
              <w:t>进行核实及确认，双方确认后</w:t>
            </w:r>
            <w:r>
              <w:rPr>
                <w:rFonts w:hint="eastAsia" w:ascii="仿宋_GB2312" w:hAnsi="仿宋_GB2312" w:eastAsia="仿宋_GB2312" w:cs="仿宋_GB2312"/>
                <w:bCs/>
                <w:color w:val="auto"/>
                <w:sz w:val="24"/>
                <w:szCs w:val="24"/>
                <w:highlight w:val="none"/>
                <w:lang w:val="en-US" w:eastAsia="zh-CN"/>
              </w:rPr>
              <w:t>10</w:t>
            </w:r>
            <w:r>
              <w:rPr>
                <w:rFonts w:hint="eastAsia" w:ascii="仿宋_GB2312" w:hAnsi="仿宋_GB2312" w:eastAsia="仿宋_GB2312" w:cs="仿宋_GB2312"/>
                <w:bCs/>
                <w:color w:val="auto"/>
                <w:sz w:val="24"/>
                <w:szCs w:val="24"/>
                <w:highlight w:val="none"/>
              </w:rPr>
              <w:t>个</w:t>
            </w:r>
            <w:r>
              <w:rPr>
                <w:rFonts w:hint="eastAsia" w:ascii="仿宋_GB2312" w:hAnsi="仿宋_GB2312" w:eastAsia="仿宋_GB2312" w:cs="仿宋_GB2312"/>
                <w:bCs/>
                <w:color w:val="auto"/>
                <w:sz w:val="24"/>
                <w:szCs w:val="24"/>
                <w:highlight w:val="none"/>
                <w:lang w:eastAsia="zh-CN"/>
              </w:rPr>
              <w:t>工作</w:t>
            </w:r>
            <w:r>
              <w:rPr>
                <w:rFonts w:hint="eastAsia" w:ascii="仿宋_GB2312" w:hAnsi="仿宋_GB2312" w:eastAsia="仿宋_GB2312" w:cs="仿宋_GB2312"/>
                <w:bCs/>
                <w:color w:val="auto"/>
                <w:sz w:val="24"/>
                <w:szCs w:val="24"/>
                <w:highlight w:val="none"/>
              </w:rPr>
              <w:t>日内支付余下运营服务费。</w:t>
            </w:r>
          </w:p>
        </w:tc>
      </w:tr>
      <w:tr w14:paraId="73C23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5" w:type="dxa"/>
            <w:gridSpan w:val="2"/>
            <w:tcBorders>
              <w:top w:val="single" w:color="000000" w:sz="4" w:space="0"/>
              <w:left w:val="single" w:color="000000" w:sz="4" w:space="0"/>
              <w:bottom w:val="single" w:color="000000" w:sz="4" w:space="0"/>
              <w:right w:val="single" w:color="000000" w:sz="4" w:space="0"/>
            </w:tcBorders>
            <w:vAlign w:val="center"/>
          </w:tcPr>
          <w:p w14:paraId="7C5F4BF8">
            <w:pPr>
              <w:wordWrap w:val="0"/>
              <w:snapToGrid w:val="0"/>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验收标准</w:t>
            </w:r>
          </w:p>
        </w:tc>
        <w:tc>
          <w:tcPr>
            <w:tcW w:w="7286" w:type="dxa"/>
            <w:gridSpan w:val="3"/>
            <w:tcBorders>
              <w:top w:val="single" w:color="000000" w:sz="4" w:space="0"/>
              <w:left w:val="single" w:color="000000" w:sz="4" w:space="0"/>
              <w:bottom w:val="single" w:color="000000" w:sz="4" w:space="0"/>
              <w:right w:val="single" w:color="000000" w:sz="4" w:space="0"/>
            </w:tcBorders>
            <w:vAlign w:val="center"/>
          </w:tcPr>
          <w:p w14:paraId="6DE74F55">
            <w:pPr>
              <w:wordWrap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pacing w:val="9"/>
                <w:sz w:val="24"/>
                <w:szCs w:val="24"/>
                <w:highlight w:val="none"/>
              </w:rPr>
              <w:t>污水处理后出水主要水质指标达到《城镇污水处理厂污染物排放标准》</w:t>
            </w:r>
            <w:r>
              <w:rPr>
                <w:rFonts w:hint="eastAsia" w:ascii="仿宋_GB2312" w:hAnsi="仿宋_GB2312" w:eastAsia="仿宋_GB2312" w:cs="仿宋_GB2312"/>
                <w:color w:val="auto"/>
                <w:spacing w:val="9"/>
                <w:sz w:val="24"/>
                <w:szCs w:val="24"/>
                <w:highlight w:val="none"/>
                <w:lang w:eastAsia="zh-CN"/>
              </w:rPr>
              <w:t>（</w:t>
            </w:r>
            <w:r>
              <w:rPr>
                <w:rFonts w:hint="eastAsia" w:ascii="仿宋_GB2312" w:hAnsi="仿宋_GB2312" w:eastAsia="仿宋_GB2312" w:cs="仿宋_GB2312"/>
                <w:color w:val="auto"/>
                <w:sz w:val="24"/>
                <w:szCs w:val="24"/>
                <w:highlight w:val="none"/>
              </w:rPr>
              <w:t>GB</w:t>
            </w:r>
            <w:r>
              <w:rPr>
                <w:rFonts w:hint="eastAsia" w:ascii="仿宋_GB2312" w:hAnsi="仿宋_GB2312" w:eastAsia="仿宋_GB2312" w:cs="仿宋_GB2312"/>
                <w:color w:val="auto"/>
                <w:spacing w:val="5"/>
                <w:sz w:val="24"/>
                <w:szCs w:val="24"/>
                <w:highlight w:val="none"/>
              </w:rPr>
              <w:t>18918-2002</w:t>
            </w:r>
            <w:r>
              <w:rPr>
                <w:rFonts w:hint="eastAsia" w:ascii="仿宋_GB2312" w:hAnsi="仿宋_GB2312" w:eastAsia="仿宋_GB2312" w:cs="仿宋_GB2312"/>
                <w:color w:val="auto"/>
                <w:spacing w:val="5"/>
                <w:sz w:val="24"/>
                <w:szCs w:val="24"/>
                <w:highlight w:val="none"/>
                <w:lang w:eastAsia="zh-CN"/>
              </w:rPr>
              <w:t>）</w:t>
            </w:r>
            <w:r>
              <w:rPr>
                <w:rFonts w:hint="eastAsia" w:ascii="仿宋_GB2312" w:hAnsi="仿宋_GB2312" w:eastAsia="仿宋_GB2312" w:cs="仿宋_GB2312"/>
                <w:color w:val="auto"/>
                <w:spacing w:val="5"/>
                <w:sz w:val="24"/>
                <w:szCs w:val="24"/>
                <w:highlight w:val="none"/>
              </w:rPr>
              <w:t>一级B标准。</w:t>
            </w:r>
          </w:p>
          <w:p w14:paraId="0D01CBF3">
            <w:pPr>
              <w:wordWrap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成交供应商交付服务前应对服务作出全面检查和对验收文件进行整理，并列出清单，作为采购人验收和使用的技术条件依据，验收的结果应随服务成果交采购人。成交供应商不能完整交付服务及本款规定</w:t>
            </w:r>
            <w:r>
              <w:rPr>
                <w:rFonts w:hint="eastAsia" w:ascii="仿宋_GB2312" w:hAnsi="仿宋_GB2312" w:eastAsia="仿宋_GB2312" w:cs="仿宋_GB2312"/>
                <w:color w:val="auto"/>
                <w:sz w:val="24"/>
                <w:szCs w:val="24"/>
                <w:highlight w:val="none"/>
                <w:lang w:val="en-US" w:eastAsia="zh-CN"/>
              </w:rPr>
              <w:t>验收</w:t>
            </w:r>
            <w:r>
              <w:rPr>
                <w:rFonts w:hint="eastAsia" w:ascii="仿宋_GB2312" w:hAnsi="仿宋_GB2312" w:eastAsia="仿宋_GB2312" w:cs="仿宋_GB2312"/>
                <w:color w:val="auto"/>
                <w:sz w:val="24"/>
                <w:szCs w:val="24"/>
                <w:highlight w:val="none"/>
              </w:rPr>
              <w:t>结果单证的，必须负责补齐，否则视为未按合同约定交付服务。</w:t>
            </w:r>
          </w:p>
          <w:p w14:paraId="79410989">
            <w:pPr>
              <w:wordWrap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.采购人组织验收，成交供应商必须到场配合，验收合格后双方签署验收合格凭证。</w:t>
            </w:r>
          </w:p>
          <w:p w14:paraId="119FBB08">
            <w:pPr>
              <w:wordWrap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.验收产生的费用由成交供应商负责。</w:t>
            </w:r>
          </w:p>
        </w:tc>
      </w:tr>
      <w:tr w14:paraId="68F07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711" w:type="dxa"/>
            <w:gridSpan w:val="5"/>
            <w:tcBorders>
              <w:top w:val="single" w:color="000000" w:sz="4" w:space="0"/>
              <w:left w:val="single" w:color="000000" w:sz="4" w:space="0"/>
              <w:bottom w:val="single" w:color="000000" w:sz="4" w:space="0"/>
              <w:right w:val="single" w:color="000000" w:sz="4" w:space="0"/>
            </w:tcBorders>
            <w:vAlign w:val="center"/>
          </w:tcPr>
          <w:p w14:paraId="7909F40B">
            <w:pPr>
              <w:wordWrap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三、采购人对项目的其他要求和说明</w:t>
            </w:r>
          </w:p>
        </w:tc>
      </w:tr>
      <w:tr w14:paraId="2BB24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5" w:type="dxa"/>
            <w:gridSpan w:val="2"/>
            <w:tcBorders>
              <w:top w:val="single" w:color="000000" w:sz="4" w:space="0"/>
              <w:left w:val="single" w:color="000000" w:sz="4" w:space="0"/>
              <w:bottom w:val="single" w:color="000000" w:sz="4" w:space="0"/>
              <w:right w:val="single" w:color="000000" w:sz="4" w:space="0"/>
            </w:tcBorders>
            <w:vAlign w:val="center"/>
          </w:tcPr>
          <w:p w14:paraId="18380AD3">
            <w:pPr>
              <w:wordWrap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其他</w:t>
            </w:r>
          </w:p>
        </w:tc>
        <w:tc>
          <w:tcPr>
            <w:tcW w:w="7286" w:type="dxa"/>
            <w:gridSpan w:val="3"/>
            <w:tcBorders>
              <w:top w:val="single" w:color="000000" w:sz="4" w:space="0"/>
              <w:left w:val="single" w:color="000000" w:sz="4" w:space="0"/>
              <w:bottom w:val="single" w:color="000000" w:sz="4" w:space="0"/>
              <w:right w:val="single" w:color="000000" w:sz="4" w:space="0"/>
            </w:tcBorders>
            <w:vAlign w:val="center"/>
          </w:tcPr>
          <w:p w14:paraId="3E6EF668">
            <w:pPr>
              <w:wordWrap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1.供应商根据项目服务基本要求和自身情况，可于响应文件提供项目组织方案、环境保护措施方案、运维服务方案、服务承诺方案及应急机制方案。</w:t>
            </w:r>
          </w:p>
          <w:p w14:paraId="79B9A49C">
            <w:pPr>
              <w:wordWrap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2.供应商根据项目服务基本要求和自身情况，提供相应的人员配置、主要服务设施的情况和现状等。</w:t>
            </w:r>
          </w:p>
        </w:tc>
      </w:tr>
    </w:tbl>
    <w:p w14:paraId="018FA33E">
      <w:pPr>
        <w:rPr>
          <w:rFonts w:hint="eastAsia" w:ascii="仿宋_GB2312" w:hAnsi="仿宋_GB2312" w:eastAsia="仿宋_GB2312" w:cs="仿宋_GB2312"/>
          <w:b/>
          <w:caps w:val="0"/>
          <w:color w:val="auto"/>
          <w:spacing w:val="0"/>
          <w:sz w:val="28"/>
          <w:szCs w:val="28"/>
          <w:highlight w:val="none"/>
          <w:lang w:val="en-US" w:eastAsia="zh-CN"/>
        </w:rPr>
        <w:sectPr>
          <w:pgSz w:w="11906" w:h="16838"/>
          <w:pgMar w:top="1440" w:right="1800" w:bottom="1440" w:left="1800" w:header="851" w:footer="992" w:gutter="0"/>
          <w:cols w:space="425" w:num="1"/>
          <w:docGrid w:type="lines" w:linePitch="312" w:charSpace="0"/>
        </w:sectPr>
      </w:pPr>
    </w:p>
    <w:p w14:paraId="534FB0AB">
      <w:pPr>
        <w:rPr>
          <w:rFonts w:hint="eastAsia" w:ascii="方正小标宋简体" w:hAnsi="方正小标宋简体" w:eastAsia="方正小标宋简体" w:cs="方正小标宋简体"/>
          <w:b/>
          <w:caps w:val="0"/>
          <w:color w:val="auto"/>
          <w:spacing w:val="0"/>
          <w:sz w:val="28"/>
          <w:szCs w:val="28"/>
          <w:highlight w:val="none"/>
          <w:lang w:val="en-US" w:eastAsia="zh-CN"/>
        </w:rPr>
      </w:pPr>
      <w:r>
        <w:rPr>
          <w:rFonts w:hint="eastAsia" w:ascii="方正小标宋简体" w:hAnsi="方正小标宋简体" w:eastAsia="方正小标宋简体" w:cs="方正小标宋简体"/>
          <w:b/>
          <w:caps w:val="0"/>
          <w:color w:val="auto"/>
          <w:spacing w:val="0"/>
          <w:sz w:val="28"/>
          <w:szCs w:val="28"/>
          <w:highlight w:val="none"/>
          <w:lang w:val="en-US" w:eastAsia="zh-CN"/>
        </w:rPr>
        <w:t>附件二：市场需求调研反馈表</w:t>
      </w:r>
    </w:p>
    <w:p w14:paraId="075D92F9">
      <w:pPr>
        <w:spacing w:line="240" w:lineRule="auto"/>
        <w:jc w:val="center"/>
        <w:rPr>
          <w:rFonts w:hint="eastAsia" w:ascii="方正小标宋简体" w:hAnsi="方正小标宋简体" w:eastAsia="方正小标宋简体" w:cs="方正小标宋简体"/>
          <w:b/>
          <w:bCs w:val="0"/>
          <w:color w:val="auto"/>
          <w:sz w:val="44"/>
          <w:szCs w:val="44"/>
        </w:rPr>
      </w:pPr>
      <w:r>
        <w:rPr>
          <w:rFonts w:hint="eastAsia" w:ascii="方正小标宋简体" w:hAnsi="方正小标宋简体" w:eastAsia="方正小标宋简体" w:cs="方正小标宋简体"/>
          <w:b/>
          <w:bCs w:val="0"/>
          <w:color w:val="auto"/>
          <w:sz w:val="44"/>
          <w:szCs w:val="44"/>
        </w:rPr>
        <w:t>市场需求调</w:t>
      </w:r>
      <w:r>
        <w:rPr>
          <w:rFonts w:hint="eastAsia" w:ascii="方正小标宋简体" w:hAnsi="方正小标宋简体" w:eastAsia="方正小标宋简体" w:cs="方正小标宋简体"/>
          <w:b/>
          <w:bCs w:val="0"/>
          <w:color w:val="auto"/>
          <w:sz w:val="44"/>
          <w:szCs w:val="44"/>
          <w:lang w:val="en-US" w:eastAsia="zh-CN"/>
        </w:rPr>
        <w:t>研</w:t>
      </w:r>
      <w:r>
        <w:rPr>
          <w:rFonts w:hint="eastAsia" w:ascii="方正小标宋简体" w:hAnsi="方正小标宋简体" w:eastAsia="方正小标宋简体" w:cs="方正小标宋简体"/>
          <w:b/>
          <w:bCs w:val="0"/>
          <w:color w:val="auto"/>
          <w:sz w:val="44"/>
          <w:szCs w:val="44"/>
        </w:rPr>
        <w:t>反馈表</w:t>
      </w:r>
    </w:p>
    <w:p w14:paraId="4293F62C">
      <w:pPr>
        <w:spacing w:line="240" w:lineRule="auto"/>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b/>
          <w:bCs w:val="0"/>
          <w:color w:val="auto"/>
          <w:sz w:val="44"/>
          <w:szCs w:val="44"/>
          <w:lang w:eastAsia="zh-CN"/>
        </w:rPr>
        <w:t>（</w:t>
      </w:r>
      <w:r>
        <w:rPr>
          <w:rFonts w:hint="eastAsia" w:ascii="方正小标宋简体" w:hAnsi="方正小标宋简体" w:eastAsia="方正小标宋简体" w:cs="方正小标宋简体"/>
          <w:b/>
          <w:bCs w:val="0"/>
          <w:color w:val="auto"/>
          <w:sz w:val="44"/>
          <w:szCs w:val="44"/>
          <w:lang w:val="en-US" w:eastAsia="zh-CN"/>
        </w:rPr>
        <w:t>苍梧县沙头镇、六堡镇污水处理厂委托运营服务项目</w:t>
      </w:r>
      <w:r>
        <w:rPr>
          <w:rFonts w:hint="eastAsia" w:ascii="方正小标宋简体" w:hAnsi="方正小标宋简体" w:eastAsia="方正小标宋简体" w:cs="方正小标宋简体"/>
          <w:b/>
          <w:bCs w:val="0"/>
          <w:color w:val="auto"/>
          <w:sz w:val="44"/>
          <w:szCs w:val="44"/>
          <w:lang w:eastAsia="zh-CN"/>
        </w:rPr>
        <w:t>）</w:t>
      </w:r>
    </w:p>
    <w:tbl>
      <w:tblPr>
        <w:tblStyle w:val="7"/>
        <w:tblW w:w="50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12"/>
        <w:gridCol w:w="1411"/>
        <w:gridCol w:w="4821"/>
        <w:gridCol w:w="1556"/>
        <w:gridCol w:w="696"/>
        <w:gridCol w:w="804"/>
        <w:gridCol w:w="2186"/>
        <w:gridCol w:w="1907"/>
      </w:tblGrid>
      <w:tr w14:paraId="3EDA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149" w:type="dxa"/>
            <w:gridSpan w:val="4"/>
            <w:noWrap/>
            <w:vAlign w:val="center"/>
          </w:tcPr>
          <w:p w14:paraId="62D0DF26">
            <w:pPr>
              <w:keepNext w:val="0"/>
              <w:keepLines w:val="0"/>
              <w:pageBreakBefore w:val="0"/>
              <w:tabs>
                <w:tab w:val="left" w:pos="180"/>
                <w:tab w:val="left" w:pos="1620"/>
              </w:tabs>
              <w:kinsoku/>
              <w:wordWrap/>
              <w:overflowPunct/>
              <w:topLinePunct w:val="0"/>
              <w:autoSpaceDE/>
              <w:autoSpaceDN/>
              <w:bidi w:val="0"/>
              <w:spacing w:line="360" w:lineRule="exact"/>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报</w:t>
            </w:r>
            <w:r>
              <w:rPr>
                <w:rFonts w:hint="eastAsia" w:ascii="宋体" w:hAnsi="宋体" w:eastAsia="宋体" w:cs="宋体"/>
                <w:b/>
                <w:bCs/>
                <w:color w:val="auto"/>
                <w:sz w:val="28"/>
                <w:szCs w:val="28"/>
                <w:lang w:val="en-US" w:eastAsia="zh-CN"/>
              </w:rPr>
              <w:t>价供应商</w:t>
            </w:r>
            <w:r>
              <w:rPr>
                <w:rFonts w:hint="eastAsia" w:ascii="宋体" w:hAnsi="宋体" w:eastAsia="宋体" w:cs="宋体"/>
                <w:b/>
                <w:bCs/>
                <w:color w:val="auto"/>
                <w:sz w:val="28"/>
                <w:szCs w:val="28"/>
                <w:lang w:eastAsia="zh-CN"/>
              </w:rPr>
              <w:t>：</w:t>
            </w:r>
          </w:p>
        </w:tc>
        <w:tc>
          <w:tcPr>
            <w:tcW w:w="7149" w:type="dxa"/>
            <w:gridSpan w:val="5"/>
            <w:noWrap/>
            <w:vAlign w:val="center"/>
          </w:tcPr>
          <w:p w14:paraId="5CA7154B">
            <w:pPr>
              <w:keepNext w:val="0"/>
              <w:keepLines w:val="0"/>
              <w:pageBreakBefore w:val="0"/>
              <w:tabs>
                <w:tab w:val="left" w:pos="180"/>
                <w:tab w:val="left" w:pos="1620"/>
              </w:tabs>
              <w:kinsoku/>
              <w:wordWrap/>
              <w:overflowPunct/>
              <w:topLinePunct w:val="0"/>
              <w:autoSpaceDE/>
              <w:autoSpaceDN/>
              <w:bidi w:val="0"/>
              <w:spacing w:line="360" w:lineRule="exact"/>
              <w:jc w:val="lef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报价金额（元）：</w:t>
            </w:r>
          </w:p>
        </w:tc>
      </w:tr>
      <w:tr w14:paraId="35602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149" w:type="dxa"/>
            <w:gridSpan w:val="4"/>
            <w:noWrap/>
            <w:vAlign w:val="center"/>
          </w:tcPr>
          <w:p w14:paraId="2CEC023F">
            <w:pPr>
              <w:keepNext w:val="0"/>
              <w:keepLines w:val="0"/>
              <w:pageBreakBefore w:val="0"/>
              <w:tabs>
                <w:tab w:val="left" w:pos="180"/>
                <w:tab w:val="left" w:pos="1620"/>
              </w:tabs>
              <w:kinsoku/>
              <w:wordWrap/>
              <w:overflowPunct/>
              <w:topLinePunct w:val="0"/>
              <w:autoSpaceDE/>
              <w:autoSpaceDN/>
              <w:bidi w:val="0"/>
              <w:spacing w:line="360" w:lineRule="exact"/>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联系人：</w:t>
            </w:r>
          </w:p>
        </w:tc>
        <w:tc>
          <w:tcPr>
            <w:tcW w:w="7149" w:type="dxa"/>
            <w:gridSpan w:val="5"/>
            <w:noWrap/>
            <w:vAlign w:val="center"/>
          </w:tcPr>
          <w:p w14:paraId="121BFB9A">
            <w:pPr>
              <w:keepNext w:val="0"/>
              <w:keepLines w:val="0"/>
              <w:pageBreakBefore w:val="0"/>
              <w:tabs>
                <w:tab w:val="left" w:pos="180"/>
                <w:tab w:val="left" w:pos="1620"/>
              </w:tabs>
              <w:kinsoku/>
              <w:wordWrap/>
              <w:overflowPunct/>
              <w:topLinePunct w:val="0"/>
              <w:autoSpaceDE/>
              <w:autoSpaceDN/>
              <w:bidi w:val="0"/>
              <w:spacing w:line="360" w:lineRule="exact"/>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联系电话：</w:t>
            </w:r>
          </w:p>
        </w:tc>
      </w:tr>
      <w:tr w14:paraId="006F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14298" w:type="dxa"/>
            <w:gridSpan w:val="9"/>
            <w:noWrap/>
            <w:vAlign w:val="center"/>
          </w:tcPr>
          <w:p w14:paraId="53F754E8">
            <w:pPr>
              <w:keepNext w:val="0"/>
              <w:keepLines w:val="0"/>
              <w:pageBreakBefore w:val="0"/>
              <w:tabs>
                <w:tab w:val="left" w:pos="180"/>
                <w:tab w:val="left" w:pos="1620"/>
              </w:tabs>
              <w:kinsoku/>
              <w:wordWrap/>
              <w:overflowPunct/>
              <w:topLinePunct w:val="0"/>
              <w:autoSpaceDE/>
              <w:autoSpaceDN/>
              <w:bidi w:val="0"/>
              <w:spacing w:line="360" w:lineRule="exact"/>
              <w:jc w:val="lef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highlight w:val="none"/>
              </w:rPr>
              <w:t>一、技术要求</w:t>
            </w:r>
          </w:p>
        </w:tc>
      </w:tr>
      <w:tr w14:paraId="3311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805" w:type="dxa"/>
            <w:noWrap/>
            <w:vAlign w:val="center"/>
          </w:tcPr>
          <w:p w14:paraId="0D1EC428">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序号</w:t>
            </w:r>
          </w:p>
        </w:tc>
        <w:tc>
          <w:tcPr>
            <w:tcW w:w="1523" w:type="dxa"/>
            <w:gridSpan w:val="2"/>
            <w:noWrap/>
            <w:vAlign w:val="center"/>
          </w:tcPr>
          <w:p w14:paraId="0E6457F9">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6377" w:type="dxa"/>
            <w:gridSpan w:val="2"/>
            <w:noWrap/>
            <w:vAlign w:val="center"/>
          </w:tcPr>
          <w:p w14:paraId="34C9BE2E">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▲项目需求及服务要求</w:t>
            </w:r>
          </w:p>
        </w:tc>
        <w:tc>
          <w:tcPr>
            <w:tcW w:w="696" w:type="dxa"/>
            <w:noWrap/>
            <w:vAlign w:val="center"/>
          </w:tcPr>
          <w:p w14:paraId="4E674DA7">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数量</w:t>
            </w:r>
          </w:p>
        </w:tc>
        <w:tc>
          <w:tcPr>
            <w:tcW w:w="804" w:type="dxa"/>
            <w:noWrap/>
            <w:vAlign w:val="center"/>
          </w:tcPr>
          <w:p w14:paraId="18A922F1">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单位</w:t>
            </w:r>
          </w:p>
        </w:tc>
        <w:tc>
          <w:tcPr>
            <w:tcW w:w="2186" w:type="dxa"/>
            <w:noWrap/>
            <w:vAlign w:val="center"/>
          </w:tcPr>
          <w:p w14:paraId="5CF98AC8">
            <w:pPr>
              <w:keepNext w:val="0"/>
              <w:keepLines w:val="0"/>
              <w:pageBreakBefore w:val="0"/>
              <w:tabs>
                <w:tab w:val="left" w:pos="180"/>
                <w:tab w:val="left" w:pos="1620"/>
              </w:tabs>
              <w:kinsoku/>
              <w:wordWrap/>
              <w:overflowPunct/>
              <w:topLinePunct w:val="0"/>
              <w:autoSpaceDE/>
              <w:autoSpaceDN/>
              <w:bidi w:val="0"/>
              <w:spacing w:line="3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szCs w:val="21"/>
                <w:lang w:val="en-US" w:eastAsia="zh-CN"/>
              </w:rPr>
              <w:t>是否有偏离的条款（填是/否，如是，请列明偏离的条款）</w:t>
            </w:r>
          </w:p>
        </w:tc>
        <w:tc>
          <w:tcPr>
            <w:tcW w:w="1907" w:type="dxa"/>
            <w:noWrap/>
            <w:vAlign w:val="center"/>
          </w:tcPr>
          <w:p w14:paraId="4C2E0DA5">
            <w:pPr>
              <w:keepNext w:val="0"/>
              <w:keepLines w:val="0"/>
              <w:pageBreakBefore w:val="0"/>
              <w:tabs>
                <w:tab w:val="left" w:pos="180"/>
                <w:tab w:val="left" w:pos="1620"/>
              </w:tabs>
              <w:kinsoku/>
              <w:wordWrap/>
              <w:overflowPunct/>
              <w:topLinePunct w:val="0"/>
              <w:autoSpaceDE/>
              <w:autoSpaceDN/>
              <w:bidi w:val="0"/>
              <w:spacing w:line="360" w:lineRule="exact"/>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技术</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服务</w:t>
            </w:r>
            <w:r>
              <w:rPr>
                <w:rFonts w:hint="eastAsia" w:ascii="宋体" w:hAnsi="宋体" w:eastAsia="宋体" w:cs="宋体"/>
                <w:b/>
                <w:bCs/>
                <w:color w:val="auto"/>
                <w:szCs w:val="21"/>
              </w:rPr>
              <w:t>要求反馈建议</w:t>
            </w:r>
            <w:r>
              <w:rPr>
                <w:rFonts w:hint="eastAsia" w:ascii="宋体" w:hAnsi="宋体" w:eastAsia="宋体" w:cs="宋体"/>
                <w:b/>
                <w:bCs/>
                <w:color w:val="auto"/>
                <w:szCs w:val="21"/>
                <w:lang w:val="en-US" w:eastAsia="zh-CN"/>
              </w:rPr>
              <w:t xml:space="preserve">  </w:t>
            </w:r>
          </w:p>
          <w:p w14:paraId="02FCC551">
            <w:pPr>
              <w:keepNext w:val="0"/>
              <w:keepLines w:val="0"/>
              <w:pageBreakBefore w:val="0"/>
              <w:tabs>
                <w:tab w:val="left" w:pos="180"/>
                <w:tab w:val="left" w:pos="1620"/>
              </w:tabs>
              <w:kinsoku/>
              <w:wordWrap/>
              <w:overflowPunct/>
              <w:topLinePunct w:val="0"/>
              <w:autoSpaceDE/>
              <w:autoSpaceDN/>
              <w:bidi w:val="0"/>
              <w:spacing w:line="36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szCs w:val="21"/>
              </w:rPr>
              <w:t>（可另附页反馈）</w:t>
            </w:r>
          </w:p>
        </w:tc>
      </w:tr>
      <w:tr w14:paraId="45D6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05" w:type="dxa"/>
            <w:noWrap/>
            <w:vAlign w:val="center"/>
          </w:tcPr>
          <w:p w14:paraId="6999FD81">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523" w:type="dxa"/>
            <w:gridSpan w:val="2"/>
            <w:noWrap/>
            <w:vAlign w:val="center"/>
          </w:tcPr>
          <w:p w14:paraId="29F80B37">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苍梧县沙头镇、六堡镇污水处理厂委托运营服务项目</w:t>
            </w:r>
          </w:p>
        </w:tc>
        <w:tc>
          <w:tcPr>
            <w:tcW w:w="6377" w:type="dxa"/>
            <w:gridSpan w:val="2"/>
            <w:noWrap w:val="0"/>
            <w:vAlign w:val="center"/>
          </w:tcPr>
          <w:p w14:paraId="7713C98A">
            <w:pPr>
              <w:wordWrap w:val="0"/>
              <w:spacing w:line="360" w:lineRule="auto"/>
              <w:ind w:firstLine="422" w:firstLineChars="200"/>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一、</w:t>
            </w:r>
            <w:r>
              <w:rPr>
                <w:rFonts w:hint="eastAsia" w:ascii="宋体" w:hAnsi="宋体" w:eastAsia="宋体" w:cs="宋体"/>
                <w:b/>
                <w:color w:val="auto"/>
                <w:kern w:val="0"/>
                <w:sz w:val="21"/>
                <w:szCs w:val="21"/>
                <w:highlight w:val="none"/>
              </w:rPr>
              <w:t>项目基本情况</w:t>
            </w:r>
          </w:p>
          <w:p w14:paraId="7D657D83">
            <w:pPr>
              <w:widowControl/>
              <w:wordWrap w:val="0"/>
              <w:autoSpaceDE/>
              <w:autoSpaceDN/>
              <w:adjustRightInd/>
              <w:snapToGrid/>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对</w:t>
            </w:r>
            <w:r>
              <w:rPr>
                <w:rFonts w:hint="eastAsia" w:ascii="宋体" w:hAnsi="宋体" w:eastAsia="宋体" w:cs="宋体"/>
                <w:color w:val="auto"/>
                <w:sz w:val="21"/>
                <w:szCs w:val="21"/>
                <w:highlight w:val="none"/>
                <w:lang w:eastAsia="zh-CN"/>
              </w:rPr>
              <w:t>苍梧县沙头镇、六堡镇污水处理厂</w:t>
            </w:r>
            <w:r>
              <w:rPr>
                <w:rFonts w:hint="eastAsia" w:ascii="宋体" w:hAnsi="宋体" w:eastAsia="宋体" w:cs="宋体"/>
                <w:color w:val="auto"/>
                <w:sz w:val="21"/>
                <w:szCs w:val="21"/>
                <w:highlight w:val="none"/>
                <w:lang w:val="en-US" w:eastAsia="zh-CN"/>
              </w:rPr>
              <w:t>共2座进行运营维护服务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pacing w:val="4"/>
                <w:sz w:val="21"/>
                <w:szCs w:val="21"/>
                <w:highlight w:val="none"/>
              </w:rPr>
              <w:t>污水经过处理后，出水水质达到《城镇污水</w:t>
            </w:r>
            <w:r>
              <w:rPr>
                <w:rFonts w:hint="eastAsia" w:ascii="宋体" w:hAnsi="宋体" w:eastAsia="宋体" w:cs="宋体"/>
                <w:color w:val="auto"/>
                <w:spacing w:val="3"/>
                <w:sz w:val="21"/>
                <w:szCs w:val="21"/>
                <w:highlight w:val="none"/>
              </w:rPr>
              <w:t>处理厂污染物排放标准》</w:t>
            </w:r>
            <w:r>
              <w:rPr>
                <w:rFonts w:hint="eastAsia" w:ascii="宋体" w:hAnsi="宋体" w:eastAsia="宋体" w:cs="宋体"/>
                <w:color w:val="auto"/>
                <w:spacing w:val="3"/>
                <w:sz w:val="21"/>
                <w:szCs w:val="21"/>
                <w:highlight w:val="none"/>
                <w:lang w:eastAsia="zh-CN"/>
              </w:rPr>
              <w:t>（</w:t>
            </w:r>
            <w:r>
              <w:rPr>
                <w:rFonts w:hint="eastAsia" w:ascii="宋体" w:hAnsi="宋体" w:eastAsia="宋体" w:cs="宋体"/>
                <w:color w:val="auto"/>
                <w:sz w:val="21"/>
                <w:szCs w:val="21"/>
                <w:highlight w:val="none"/>
              </w:rPr>
              <w:t>GB</w:t>
            </w:r>
            <w:r>
              <w:rPr>
                <w:rFonts w:hint="eastAsia" w:ascii="宋体" w:hAnsi="宋体" w:eastAsia="宋体" w:cs="宋体"/>
                <w:color w:val="auto"/>
                <w:spacing w:val="3"/>
                <w:sz w:val="21"/>
                <w:szCs w:val="21"/>
                <w:highlight w:val="none"/>
              </w:rPr>
              <w:t>18918-2002)一级</w:t>
            </w:r>
            <w:r>
              <w:rPr>
                <w:rFonts w:hint="eastAsia" w:ascii="宋体" w:hAnsi="宋体" w:eastAsia="宋体" w:cs="宋体"/>
                <w:color w:val="auto"/>
                <w:spacing w:val="-42"/>
                <w:sz w:val="21"/>
                <w:szCs w:val="21"/>
                <w:highlight w:val="none"/>
              </w:rPr>
              <w:t xml:space="preserve"> </w:t>
            </w:r>
            <w:r>
              <w:rPr>
                <w:rFonts w:hint="eastAsia" w:ascii="宋体" w:hAnsi="宋体" w:eastAsia="宋体" w:cs="宋体"/>
                <w:color w:val="auto"/>
                <w:spacing w:val="3"/>
                <w:sz w:val="21"/>
                <w:szCs w:val="21"/>
                <w:highlight w:val="none"/>
              </w:rPr>
              <w:t>B</w:t>
            </w:r>
            <w:r>
              <w:rPr>
                <w:rFonts w:hint="eastAsia" w:ascii="宋体" w:hAnsi="宋体" w:eastAsia="宋体" w:cs="宋体"/>
                <w:color w:val="auto"/>
                <w:spacing w:val="-37"/>
                <w:sz w:val="21"/>
                <w:szCs w:val="21"/>
                <w:highlight w:val="none"/>
              </w:rPr>
              <w:t xml:space="preserve"> </w:t>
            </w:r>
            <w:r>
              <w:rPr>
                <w:rFonts w:hint="eastAsia" w:ascii="宋体" w:hAnsi="宋体" w:eastAsia="宋体" w:cs="宋体"/>
                <w:color w:val="auto"/>
                <w:spacing w:val="3"/>
                <w:sz w:val="21"/>
                <w:szCs w:val="21"/>
                <w:highlight w:val="none"/>
              </w:rPr>
              <w:t>标准，</w:t>
            </w:r>
            <w:r>
              <w:rPr>
                <w:rFonts w:hint="eastAsia" w:ascii="宋体" w:hAnsi="宋体" w:eastAsia="宋体" w:cs="宋体"/>
                <w:color w:val="auto"/>
                <w:spacing w:val="9"/>
                <w:sz w:val="21"/>
                <w:szCs w:val="21"/>
                <w:highlight w:val="none"/>
              </w:rPr>
              <w:t>污泥经过浓缩脱水含水率小于</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9"/>
                <w:sz w:val="21"/>
                <w:szCs w:val="21"/>
                <w:highlight w:val="none"/>
              </w:rPr>
              <w:t>80%后进行无害化处置</w:t>
            </w:r>
            <w:r>
              <w:rPr>
                <w:rFonts w:hint="eastAsia" w:ascii="宋体" w:hAnsi="宋体" w:eastAsia="宋体" w:cs="宋体"/>
                <w:color w:val="auto"/>
                <w:spacing w:val="8"/>
                <w:sz w:val="21"/>
                <w:szCs w:val="21"/>
                <w:highlight w:val="none"/>
              </w:rPr>
              <w:t>。</w:t>
            </w:r>
          </w:p>
          <w:p w14:paraId="4B7A5E61">
            <w:pPr>
              <w:widowControl/>
              <w:wordWrap w:val="0"/>
              <w:autoSpaceDE/>
              <w:autoSpaceDN/>
              <w:adjustRightInd/>
              <w:snapToGrid/>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苍梧县</w:t>
            </w:r>
            <w:r>
              <w:rPr>
                <w:rFonts w:hint="eastAsia" w:ascii="宋体" w:hAnsi="宋体" w:eastAsia="宋体" w:cs="宋体"/>
                <w:color w:val="auto"/>
                <w:sz w:val="21"/>
                <w:szCs w:val="21"/>
                <w:highlight w:val="none"/>
                <w:lang w:eastAsia="zh-CN"/>
              </w:rPr>
              <w:t>沙头镇污水处理厂</w:t>
            </w:r>
            <w:r>
              <w:rPr>
                <w:rFonts w:hint="eastAsia" w:ascii="宋体" w:hAnsi="宋体" w:eastAsia="宋体" w:cs="宋体"/>
                <w:color w:val="auto"/>
                <w:sz w:val="21"/>
                <w:szCs w:val="21"/>
                <w:highlight w:val="none"/>
                <w:lang w:val="en-US" w:eastAsia="zh-CN"/>
              </w:rPr>
              <w:t>日处理量（1500m³/天），苍梧县</w:t>
            </w:r>
            <w:r>
              <w:rPr>
                <w:rFonts w:hint="eastAsia" w:ascii="宋体" w:hAnsi="宋体" w:eastAsia="宋体" w:cs="宋体"/>
                <w:color w:val="auto"/>
                <w:sz w:val="21"/>
                <w:szCs w:val="21"/>
                <w:highlight w:val="none"/>
                <w:lang w:eastAsia="zh-CN"/>
              </w:rPr>
              <w:t>六堡镇污水处理厂</w:t>
            </w:r>
            <w:r>
              <w:rPr>
                <w:rFonts w:hint="eastAsia" w:ascii="宋体" w:hAnsi="宋体" w:eastAsia="宋体" w:cs="宋体"/>
                <w:color w:val="auto"/>
                <w:sz w:val="21"/>
                <w:szCs w:val="21"/>
                <w:highlight w:val="none"/>
                <w:lang w:val="en-US" w:eastAsia="zh-CN"/>
              </w:rPr>
              <w:t>日处理量（1500m³/天）。</w:t>
            </w:r>
          </w:p>
          <w:p w14:paraId="7E9CB2D3">
            <w:pPr>
              <w:wordWrap w:val="0"/>
              <w:spacing w:line="360" w:lineRule="auto"/>
              <w:ind w:firstLine="422" w:firstLineChars="200"/>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二、</w:t>
            </w:r>
            <w:r>
              <w:rPr>
                <w:rFonts w:hint="eastAsia" w:ascii="宋体" w:hAnsi="宋体" w:eastAsia="宋体" w:cs="宋体"/>
                <w:b/>
                <w:color w:val="auto"/>
                <w:kern w:val="0"/>
                <w:sz w:val="21"/>
                <w:szCs w:val="21"/>
                <w:highlight w:val="none"/>
              </w:rPr>
              <w:t>工作内容</w:t>
            </w:r>
          </w:p>
          <w:p w14:paraId="5EA300C6">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主要包括但不限于污水处理厂设施的管理维护及正常运行，污水处理厂构筑物的管理维护、设备运行和维护（不含设备设施大修、重置）、电气自控运行和维护、污水处理厂进出水水质日常检测和第三方监测、在线监测设备运维</w:t>
            </w:r>
            <w:r>
              <w:rPr>
                <w:rFonts w:hint="eastAsia" w:ascii="宋体" w:hAnsi="宋体" w:eastAsia="宋体" w:cs="宋体"/>
                <w:color w:val="auto"/>
                <w:kern w:val="0"/>
                <w:sz w:val="21"/>
                <w:szCs w:val="21"/>
                <w:highlight w:val="none"/>
              </w:rPr>
              <w:t>。</w:t>
            </w:r>
          </w:p>
          <w:p w14:paraId="0C10AEBB">
            <w:pPr>
              <w:wordWrap w:val="0"/>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en-US" w:eastAsia="zh-CN"/>
              </w:rPr>
              <w:t>.配套附属设施的工艺、设备、设施、安全、厂区绿化、现场卫生保洁等事项的运营维护，收集整理完整的工艺设施运行与维护台账，保证污水处理厂正常稳定运行。</w:t>
            </w:r>
          </w:p>
          <w:p w14:paraId="3A7C9910">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派出技术人员派驻或者巡逻污水处理</w:t>
            </w:r>
            <w:r>
              <w:rPr>
                <w:rFonts w:hint="eastAsia" w:ascii="宋体" w:hAnsi="宋体" w:eastAsia="宋体" w:cs="宋体"/>
                <w:color w:val="auto"/>
                <w:kern w:val="0"/>
                <w:sz w:val="21"/>
                <w:szCs w:val="21"/>
                <w:highlight w:val="none"/>
                <w:lang w:val="en-US" w:eastAsia="zh-CN"/>
              </w:rPr>
              <w:t>厂</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配合各级政府相关部门检查。</w:t>
            </w:r>
          </w:p>
          <w:p w14:paraId="1F6094B5">
            <w:pPr>
              <w:wordWrap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三、运营水质达标</w:t>
            </w:r>
            <w:r>
              <w:rPr>
                <w:rFonts w:hint="eastAsia" w:ascii="宋体" w:hAnsi="宋体" w:eastAsia="宋体" w:cs="宋体"/>
                <w:b/>
                <w:bCs/>
                <w:color w:val="auto"/>
                <w:kern w:val="0"/>
                <w:sz w:val="21"/>
                <w:szCs w:val="21"/>
                <w:highlight w:val="none"/>
              </w:rPr>
              <w:t>要求</w:t>
            </w:r>
          </w:p>
          <w:p w14:paraId="65ED7B6E">
            <w:pPr>
              <w:wordWrap w:val="0"/>
              <w:spacing w:before="173"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pacing w:val="11"/>
                <w:sz w:val="21"/>
                <w:szCs w:val="21"/>
                <w:highlight w:val="none"/>
              </w:rPr>
              <w:t>进水水质标准</w:t>
            </w:r>
          </w:p>
          <w:p w14:paraId="73F1D700">
            <w:pPr>
              <w:wordWrap w:val="0"/>
              <w:spacing w:line="360" w:lineRule="auto"/>
              <w:ind w:firstLine="476"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14"/>
                <w:sz w:val="21"/>
                <w:szCs w:val="21"/>
                <w:highlight w:val="none"/>
              </w:rPr>
              <w:t>表1-1</w:t>
            </w:r>
            <w:r>
              <w:rPr>
                <w:rFonts w:hint="eastAsia" w:ascii="宋体" w:hAnsi="宋体" w:eastAsia="宋体" w:cs="宋体"/>
                <w:color w:val="auto"/>
                <w:spacing w:val="20"/>
                <w:w w:val="101"/>
                <w:sz w:val="21"/>
                <w:szCs w:val="21"/>
                <w:highlight w:val="none"/>
              </w:rPr>
              <w:t xml:space="preserve">  </w:t>
            </w:r>
            <w:r>
              <w:rPr>
                <w:rFonts w:hint="eastAsia" w:ascii="宋体" w:hAnsi="宋体" w:eastAsia="宋体" w:cs="宋体"/>
                <w:color w:val="auto"/>
                <w:spacing w:val="14"/>
                <w:sz w:val="21"/>
                <w:szCs w:val="21"/>
                <w:highlight w:val="none"/>
              </w:rPr>
              <w:t>污水处理厂设计进水水质</w:t>
            </w:r>
            <w:r>
              <w:rPr>
                <w:rFonts w:hint="eastAsia" w:ascii="宋体" w:hAnsi="宋体" w:eastAsia="宋体" w:cs="宋体"/>
                <w:color w:val="auto"/>
                <w:spacing w:val="14"/>
                <w:sz w:val="21"/>
                <w:szCs w:val="21"/>
                <w:highlight w:val="none"/>
                <w:lang w:eastAsia="zh-CN"/>
              </w:rPr>
              <w:t>（</w:t>
            </w:r>
            <w:r>
              <w:rPr>
                <w:rFonts w:hint="eastAsia" w:ascii="宋体" w:hAnsi="宋体" w:eastAsia="宋体" w:cs="宋体"/>
                <w:color w:val="auto"/>
                <w:spacing w:val="14"/>
                <w:sz w:val="21"/>
                <w:szCs w:val="21"/>
                <w:highlight w:val="none"/>
              </w:rPr>
              <w:t>单位：</w:t>
            </w:r>
            <w:r>
              <w:rPr>
                <w:rFonts w:hint="eastAsia" w:ascii="宋体" w:hAnsi="宋体" w:eastAsia="宋体" w:cs="宋体"/>
                <w:color w:val="auto"/>
                <w:spacing w:val="-56"/>
                <w:sz w:val="21"/>
                <w:szCs w:val="21"/>
                <w:highlight w:val="none"/>
              </w:rPr>
              <w:t xml:space="preserve"> </w:t>
            </w:r>
            <w:r>
              <w:rPr>
                <w:rFonts w:hint="eastAsia" w:ascii="宋体" w:hAnsi="宋体" w:eastAsia="宋体" w:cs="宋体"/>
                <w:color w:val="auto"/>
                <w:sz w:val="21"/>
                <w:szCs w:val="21"/>
                <w:highlight w:val="none"/>
              </w:rPr>
              <w:t>mg</w:t>
            </w:r>
            <w:r>
              <w:rPr>
                <w:rFonts w:hint="eastAsia" w:ascii="宋体" w:hAnsi="宋体" w:eastAsia="宋体" w:cs="宋体"/>
                <w:color w:val="auto"/>
                <w:spacing w:val="14"/>
                <w:sz w:val="21"/>
                <w:szCs w:val="21"/>
                <w:highlight w:val="none"/>
              </w:rPr>
              <w:t>/L</w:t>
            </w:r>
            <w:r>
              <w:rPr>
                <w:rFonts w:hint="eastAsia" w:ascii="宋体" w:hAnsi="宋体" w:eastAsia="宋体" w:cs="宋体"/>
                <w:color w:val="auto"/>
                <w:spacing w:val="14"/>
                <w:sz w:val="21"/>
                <w:szCs w:val="21"/>
                <w:highlight w:val="none"/>
                <w:lang w:eastAsia="zh-CN"/>
              </w:rPr>
              <w:t>）</w:t>
            </w:r>
          </w:p>
          <w:tbl>
            <w:tblPr>
              <w:tblStyle w:val="9"/>
              <w:tblW w:w="58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4"/>
              <w:gridCol w:w="928"/>
              <w:gridCol w:w="842"/>
              <w:gridCol w:w="842"/>
              <w:gridCol w:w="842"/>
              <w:gridCol w:w="917"/>
              <w:gridCol w:w="725"/>
            </w:tblGrid>
            <w:tr w14:paraId="0B92E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jc w:val="center"/>
              </w:trPr>
              <w:tc>
                <w:tcPr>
                  <w:tcW w:w="764" w:type="dxa"/>
                  <w:vAlign w:val="center"/>
                </w:tcPr>
                <w:p w14:paraId="1801DBD7">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项目</w:t>
                  </w:r>
                </w:p>
              </w:tc>
              <w:tc>
                <w:tcPr>
                  <w:tcW w:w="928" w:type="dxa"/>
                  <w:vAlign w:val="center"/>
                </w:tcPr>
                <w:p w14:paraId="21B82CC1">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CODcr</w:t>
                  </w:r>
                </w:p>
                <w:p w14:paraId="34A70540">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7"/>
                      <w:sz w:val="21"/>
                      <w:szCs w:val="21"/>
                      <w:highlight w:val="none"/>
                    </w:rPr>
                    <w:t>/L)</w:t>
                  </w:r>
                </w:p>
              </w:tc>
              <w:tc>
                <w:tcPr>
                  <w:tcW w:w="842" w:type="dxa"/>
                  <w:vAlign w:val="center"/>
                </w:tcPr>
                <w:p w14:paraId="2A4687E5">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BOD</w:t>
                  </w:r>
                  <w:r>
                    <w:rPr>
                      <w:rFonts w:hint="eastAsia" w:ascii="宋体" w:hAnsi="宋体" w:eastAsia="宋体" w:cs="宋体"/>
                      <w:color w:val="auto"/>
                      <w:spacing w:val="22"/>
                      <w:sz w:val="21"/>
                      <w:szCs w:val="21"/>
                      <w:highlight w:val="none"/>
                      <w:vertAlign w:val="subscript"/>
                    </w:rPr>
                    <w:t>5</w:t>
                  </w:r>
                </w:p>
                <w:p w14:paraId="0C586491">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7"/>
                      <w:sz w:val="21"/>
                      <w:szCs w:val="21"/>
                      <w:highlight w:val="none"/>
                    </w:rPr>
                    <w:t>/L)</w:t>
                  </w:r>
                </w:p>
              </w:tc>
              <w:tc>
                <w:tcPr>
                  <w:tcW w:w="842" w:type="dxa"/>
                  <w:vAlign w:val="center"/>
                </w:tcPr>
                <w:p w14:paraId="2303F832">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SS</w:t>
                  </w:r>
                </w:p>
                <w:p w14:paraId="0EED2422">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6"/>
                      <w:sz w:val="21"/>
                      <w:szCs w:val="21"/>
                      <w:highlight w:val="none"/>
                    </w:rPr>
                    <w:t>/L)</w:t>
                  </w:r>
                </w:p>
              </w:tc>
              <w:tc>
                <w:tcPr>
                  <w:tcW w:w="842" w:type="dxa"/>
                  <w:vAlign w:val="center"/>
                </w:tcPr>
                <w:p w14:paraId="760CEE5C">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TN</w:t>
                  </w:r>
                </w:p>
                <w:p w14:paraId="55493827">
                  <w:pPr>
                    <w:wordWrap w:val="0"/>
                    <w:spacing w:before="0" w:line="240" w:lineRule="auto"/>
                    <w:ind w:left="0" w:firstLine="0" w:firstLineChars="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7"/>
                      <w:sz w:val="21"/>
                      <w:szCs w:val="21"/>
                      <w:highlight w:val="none"/>
                    </w:rPr>
                    <w:t>/L)</w:t>
                  </w:r>
                </w:p>
              </w:tc>
              <w:tc>
                <w:tcPr>
                  <w:tcW w:w="917" w:type="dxa"/>
                  <w:vAlign w:val="center"/>
                </w:tcPr>
                <w:p w14:paraId="133F066B">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NH₃</w:t>
                  </w:r>
                  <w:r>
                    <w:rPr>
                      <w:rFonts w:hint="eastAsia" w:ascii="宋体" w:hAnsi="宋体" w:eastAsia="宋体" w:cs="宋体"/>
                      <w:color w:val="auto"/>
                      <w:spacing w:val="18"/>
                      <w:sz w:val="21"/>
                      <w:szCs w:val="21"/>
                      <w:highlight w:val="none"/>
                    </w:rPr>
                    <w:t>-</w:t>
                  </w:r>
                  <w:r>
                    <w:rPr>
                      <w:rFonts w:hint="eastAsia" w:ascii="宋体" w:hAnsi="宋体" w:eastAsia="宋体" w:cs="宋体"/>
                      <w:color w:val="auto"/>
                      <w:spacing w:val="8"/>
                      <w:sz w:val="21"/>
                      <w:szCs w:val="21"/>
                      <w:highlight w:val="none"/>
                    </w:rPr>
                    <w:t>N</w:t>
                  </w:r>
                </w:p>
                <w:p w14:paraId="24585F88">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7"/>
                      <w:sz w:val="21"/>
                      <w:szCs w:val="21"/>
                      <w:highlight w:val="none"/>
                    </w:rPr>
                    <w:t>/L)</w:t>
                  </w:r>
                </w:p>
              </w:tc>
              <w:tc>
                <w:tcPr>
                  <w:tcW w:w="725" w:type="dxa"/>
                  <w:vAlign w:val="center"/>
                </w:tcPr>
                <w:p w14:paraId="09C7EE3C">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TP</w:t>
                  </w:r>
                </w:p>
                <w:p w14:paraId="50C3FEF2">
                  <w:pPr>
                    <w:wordWrap w:val="0"/>
                    <w:spacing w:before="0" w:line="240" w:lineRule="auto"/>
                    <w:ind w:left="0" w:firstLine="0" w:firstLineChars="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6"/>
                      <w:sz w:val="21"/>
                      <w:szCs w:val="21"/>
                      <w:highlight w:val="none"/>
                    </w:rPr>
                    <w:t>/</w:t>
                  </w:r>
                  <w:r>
                    <w:rPr>
                      <w:rFonts w:hint="eastAsia" w:ascii="宋体" w:hAnsi="宋体" w:eastAsia="宋体" w:cs="宋体"/>
                      <w:color w:val="auto"/>
                      <w:spacing w:val="2"/>
                      <w:sz w:val="21"/>
                      <w:szCs w:val="21"/>
                      <w:highlight w:val="none"/>
                    </w:rPr>
                    <w:t>L)</w:t>
                  </w:r>
                </w:p>
              </w:tc>
            </w:tr>
            <w:tr w14:paraId="059FB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jc w:val="center"/>
              </w:trPr>
              <w:tc>
                <w:tcPr>
                  <w:tcW w:w="764" w:type="dxa"/>
                  <w:vAlign w:val="center"/>
                </w:tcPr>
                <w:p w14:paraId="7978BF28">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进水</w:t>
                  </w:r>
                  <w:r>
                    <w:rPr>
                      <w:rFonts w:hint="eastAsia" w:ascii="宋体" w:hAnsi="宋体" w:eastAsia="宋体" w:cs="宋体"/>
                      <w:color w:val="auto"/>
                      <w:spacing w:val="10"/>
                      <w:sz w:val="21"/>
                      <w:szCs w:val="21"/>
                      <w:highlight w:val="none"/>
                    </w:rPr>
                    <w:t>浓度</w:t>
                  </w:r>
                </w:p>
              </w:tc>
              <w:tc>
                <w:tcPr>
                  <w:tcW w:w="928" w:type="dxa"/>
                  <w:vAlign w:val="center"/>
                </w:tcPr>
                <w:p w14:paraId="1A5664DF">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1"/>
                      <w:position w:val="1"/>
                      <w:sz w:val="21"/>
                      <w:szCs w:val="21"/>
                      <w:highlight w:val="none"/>
                    </w:rPr>
                    <w:t>200</w:t>
                  </w:r>
                </w:p>
              </w:tc>
              <w:tc>
                <w:tcPr>
                  <w:tcW w:w="842" w:type="dxa"/>
                  <w:vAlign w:val="center"/>
                </w:tcPr>
                <w:p w14:paraId="391B61BD">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4"/>
                      <w:position w:val="1"/>
                      <w:sz w:val="21"/>
                      <w:szCs w:val="21"/>
                      <w:highlight w:val="none"/>
                    </w:rPr>
                    <w:t>120</w:t>
                  </w:r>
                </w:p>
              </w:tc>
              <w:tc>
                <w:tcPr>
                  <w:tcW w:w="842" w:type="dxa"/>
                  <w:vAlign w:val="center"/>
                </w:tcPr>
                <w:p w14:paraId="3DCE04E6">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4"/>
                      <w:position w:val="1"/>
                      <w:sz w:val="21"/>
                      <w:szCs w:val="21"/>
                      <w:highlight w:val="none"/>
                    </w:rPr>
                    <w:t>150</w:t>
                  </w:r>
                </w:p>
              </w:tc>
              <w:tc>
                <w:tcPr>
                  <w:tcW w:w="842" w:type="dxa"/>
                  <w:vAlign w:val="center"/>
                </w:tcPr>
                <w:p w14:paraId="3DCE9DDA">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rPr>
                    <w:t>35</w:t>
                  </w:r>
                </w:p>
              </w:tc>
              <w:tc>
                <w:tcPr>
                  <w:tcW w:w="917" w:type="dxa"/>
                  <w:vAlign w:val="center"/>
                </w:tcPr>
                <w:p w14:paraId="3EBF0817">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rPr>
                    <w:t>30</w:t>
                  </w:r>
                </w:p>
              </w:tc>
              <w:tc>
                <w:tcPr>
                  <w:tcW w:w="725" w:type="dxa"/>
                  <w:vAlign w:val="center"/>
                </w:tcPr>
                <w:p w14:paraId="4B7F704D">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3</w:t>
                  </w:r>
                </w:p>
              </w:tc>
            </w:tr>
          </w:tbl>
          <w:p w14:paraId="2902CFA7">
            <w:pPr>
              <w:wordWrap w:val="0"/>
              <w:spacing w:before="86" w:line="360" w:lineRule="auto"/>
              <w:ind w:left="0" w:firstLine="484" w:firstLineChars="200"/>
              <w:outlineLvl w:val="1"/>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2.出水水质标准</w:t>
            </w:r>
          </w:p>
          <w:p w14:paraId="0F305E79">
            <w:pPr>
              <w:wordWrap w:val="0"/>
              <w:spacing w:line="360" w:lineRule="auto"/>
              <w:ind w:firstLine="472"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13"/>
                <w:sz w:val="21"/>
                <w:szCs w:val="21"/>
                <w:highlight w:val="none"/>
              </w:rPr>
              <w:t>表2-1</w:t>
            </w:r>
            <w:r>
              <w:rPr>
                <w:rFonts w:hint="eastAsia" w:ascii="宋体" w:hAnsi="宋体" w:eastAsia="宋体" w:cs="宋体"/>
                <w:color w:val="auto"/>
                <w:spacing w:val="13"/>
                <w:sz w:val="21"/>
                <w:szCs w:val="21"/>
                <w:highlight w:val="none"/>
                <w:lang w:val="en-US" w:eastAsia="zh-CN"/>
              </w:rPr>
              <w:t xml:space="preserve">  </w:t>
            </w:r>
            <w:r>
              <w:rPr>
                <w:rFonts w:hint="eastAsia" w:ascii="宋体" w:hAnsi="宋体" w:eastAsia="宋体" w:cs="宋体"/>
                <w:color w:val="auto"/>
                <w:spacing w:val="-54"/>
                <w:sz w:val="21"/>
                <w:szCs w:val="21"/>
                <w:highlight w:val="none"/>
              </w:rPr>
              <w:t xml:space="preserve"> </w:t>
            </w:r>
            <w:r>
              <w:rPr>
                <w:rFonts w:hint="eastAsia" w:ascii="宋体" w:hAnsi="宋体" w:eastAsia="宋体" w:cs="宋体"/>
                <w:color w:val="auto"/>
                <w:spacing w:val="13"/>
                <w:sz w:val="21"/>
                <w:szCs w:val="21"/>
                <w:highlight w:val="none"/>
              </w:rPr>
              <w:t>污水处理厂设计出水水质</w:t>
            </w:r>
            <w:r>
              <w:rPr>
                <w:rFonts w:hint="eastAsia" w:ascii="宋体" w:hAnsi="宋体" w:eastAsia="宋体" w:cs="宋体"/>
                <w:color w:val="auto"/>
                <w:spacing w:val="13"/>
                <w:sz w:val="21"/>
                <w:szCs w:val="21"/>
                <w:highlight w:val="none"/>
                <w:lang w:eastAsia="zh-CN"/>
              </w:rPr>
              <w:t>（</w:t>
            </w:r>
            <w:r>
              <w:rPr>
                <w:rFonts w:hint="eastAsia" w:ascii="宋体" w:hAnsi="宋体" w:eastAsia="宋体" w:cs="宋体"/>
                <w:color w:val="auto"/>
                <w:spacing w:val="13"/>
                <w:sz w:val="21"/>
                <w:szCs w:val="21"/>
                <w:highlight w:val="none"/>
              </w:rPr>
              <w:t>单位：</w:t>
            </w:r>
            <w:r>
              <w:rPr>
                <w:rFonts w:hint="eastAsia" w:ascii="宋体" w:hAnsi="宋体" w:eastAsia="宋体" w:cs="宋体"/>
                <w:color w:val="auto"/>
                <w:spacing w:val="-52"/>
                <w:sz w:val="21"/>
                <w:szCs w:val="21"/>
                <w:highlight w:val="none"/>
              </w:rPr>
              <w:t xml:space="preserve"> </w:t>
            </w:r>
            <w:r>
              <w:rPr>
                <w:rFonts w:hint="eastAsia" w:ascii="宋体" w:hAnsi="宋体" w:eastAsia="宋体" w:cs="宋体"/>
                <w:color w:val="auto"/>
                <w:sz w:val="21"/>
                <w:szCs w:val="21"/>
                <w:highlight w:val="none"/>
              </w:rPr>
              <w:t>mg</w:t>
            </w:r>
            <w:r>
              <w:rPr>
                <w:rFonts w:hint="eastAsia" w:ascii="宋体" w:hAnsi="宋体" w:eastAsia="宋体" w:cs="宋体"/>
                <w:color w:val="auto"/>
                <w:spacing w:val="13"/>
                <w:sz w:val="21"/>
                <w:szCs w:val="21"/>
                <w:highlight w:val="none"/>
              </w:rPr>
              <w:t>/L</w:t>
            </w:r>
            <w:r>
              <w:rPr>
                <w:rFonts w:hint="eastAsia" w:ascii="宋体" w:hAnsi="宋体" w:eastAsia="宋体" w:cs="宋体"/>
                <w:color w:val="auto"/>
                <w:spacing w:val="13"/>
                <w:sz w:val="21"/>
                <w:szCs w:val="21"/>
                <w:highlight w:val="none"/>
                <w:lang w:eastAsia="zh-CN"/>
              </w:rPr>
              <w:t>）</w:t>
            </w:r>
          </w:p>
          <w:tbl>
            <w:tblPr>
              <w:tblStyle w:val="9"/>
              <w:tblW w:w="5757" w:type="dxa"/>
              <w:tblInd w:w="20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8"/>
              <w:gridCol w:w="1004"/>
              <w:gridCol w:w="842"/>
              <w:gridCol w:w="842"/>
              <w:gridCol w:w="842"/>
              <w:gridCol w:w="843"/>
              <w:gridCol w:w="696"/>
            </w:tblGrid>
            <w:tr w14:paraId="3886C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688" w:type="dxa"/>
                  <w:vAlign w:val="center"/>
                </w:tcPr>
                <w:p w14:paraId="3856E290">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项目</w:t>
                  </w:r>
                </w:p>
              </w:tc>
              <w:tc>
                <w:tcPr>
                  <w:tcW w:w="1004" w:type="dxa"/>
                  <w:vAlign w:val="center"/>
                </w:tcPr>
                <w:p w14:paraId="25F50184">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CODcr</w:t>
                  </w:r>
                </w:p>
                <w:p w14:paraId="4509F5EE">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7"/>
                      <w:sz w:val="21"/>
                      <w:szCs w:val="21"/>
                      <w:highlight w:val="none"/>
                    </w:rPr>
                    <w:t>/L)</w:t>
                  </w:r>
                </w:p>
              </w:tc>
              <w:tc>
                <w:tcPr>
                  <w:tcW w:w="842" w:type="dxa"/>
                  <w:vAlign w:val="center"/>
                </w:tcPr>
                <w:p w14:paraId="10FA08BD">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BOD</w:t>
                  </w:r>
                  <w:r>
                    <w:rPr>
                      <w:rFonts w:hint="eastAsia" w:ascii="宋体" w:hAnsi="宋体" w:eastAsia="宋体" w:cs="宋体"/>
                      <w:color w:val="auto"/>
                      <w:spacing w:val="22"/>
                      <w:sz w:val="21"/>
                      <w:szCs w:val="21"/>
                      <w:highlight w:val="none"/>
                      <w:vertAlign w:val="subscript"/>
                    </w:rPr>
                    <w:t>5</w:t>
                  </w:r>
                </w:p>
                <w:p w14:paraId="62FCEB2F">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7"/>
                      <w:sz w:val="21"/>
                      <w:szCs w:val="21"/>
                      <w:highlight w:val="none"/>
                    </w:rPr>
                    <w:t>/L)</w:t>
                  </w:r>
                </w:p>
              </w:tc>
              <w:tc>
                <w:tcPr>
                  <w:tcW w:w="842" w:type="dxa"/>
                  <w:vAlign w:val="center"/>
                </w:tcPr>
                <w:p w14:paraId="20C2B6F2">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SS</w:t>
                  </w:r>
                </w:p>
                <w:p w14:paraId="219893B1">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6"/>
                      <w:sz w:val="21"/>
                      <w:szCs w:val="21"/>
                      <w:highlight w:val="none"/>
                    </w:rPr>
                    <w:t>/L)</w:t>
                  </w:r>
                </w:p>
              </w:tc>
              <w:tc>
                <w:tcPr>
                  <w:tcW w:w="842" w:type="dxa"/>
                  <w:vAlign w:val="center"/>
                </w:tcPr>
                <w:p w14:paraId="5B635214">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TN</w:t>
                  </w:r>
                </w:p>
                <w:p w14:paraId="626A4AA8">
                  <w:pPr>
                    <w:wordWrap w:val="0"/>
                    <w:spacing w:before="0" w:line="240" w:lineRule="auto"/>
                    <w:ind w:left="0" w:firstLine="0" w:firstLineChars="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7"/>
                      <w:sz w:val="21"/>
                      <w:szCs w:val="21"/>
                      <w:highlight w:val="none"/>
                    </w:rPr>
                    <w:t>/L)</w:t>
                  </w:r>
                </w:p>
              </w:tc>
              <w:tc>
                <w:tcPr>
                  <w:tcW w:w="843" w:type="dxa"/>
                  <w:vAlign w:val="center"/>
                </w:tcPr>
                <w:p w14:paraId="11732918">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NH₃</w:t>
                  </w:r>
                  <w:r>
                    <w:rPr>
                      <w:rFonts w:hint="eastAsia" w:ascii="宋体" w:hAnsi="宋体" w:eastAsia="宋体" w:cs="宋体"/>
                      <w:color w:val="auto"/>
                      <w:spacing w:val="18"/>
                      <w:sz w:val="21"/>
                      <w:szCs w:val="21"/>
                      <w:highlight w:val="none"/>
                    </w:rPr>
                    <w:t>-</w:t>
                  </w:r>
                  <w:r>
                    <w:rPr>
                      <w:rFonts w:hint="eastAsia" w:ascii="宋体" w:hAnsi="宋体" w:eastAsia="宋体" w:cs="宋体"/>
                      <w:color w:val="auto"/>
                      <w:spacing w:val="8"/>
                      <w:sz w:val="21"/>
                      <w:szCs w:val="21"/>
                      <w:highlight w:val="none"/>
                    </w:rPr>
                    <w:t>N</w:t>
                  </w:r>
                </w:p>
                <w:p w14:paraId="39315CE3">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7"/>
                      <w:sz w:val="21"/>
                      <w:szCs w:val="21"/>
                      <w:highlight w:val="none"/>
                    </w:rPr>
                    <w:t>/L)</w:t>
                  </w:r>
                </w:p>
              </w:tc>
              <w:tc>
                <w:tcPr>
                  <w:tcW w:w="696" w:type="dxa"/>
                  <w:vAlign w:val="center"/>
                </w:tcPr>
                <w:p w14:paraId="1E952721">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TP</w:t>
                  </w:r>
                </w:p>
                <w:p w14:paraId="5F830B45">
                  <w:pPr>
                    <w:wordWrap w:val="0"/>
                    <w:spacing w:before="0" w:line="240" w:lineRule="auto"/>
                    <w:ind w:left="0" w:firstLine="0" w:firstLineChars="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w:t>
                  </w:r>
                  <w:r>
                    <w:rPr>
                      <w:rFonts w:hint="eastAsia" w:ascii="宋体" w:hAnsi="宋体" w:eastAsia="宋体" w:cs="宋体"/>
                      <w:color w:val="auto"/>
                      <w:sz w:val="21"/>
                      <w:szCs w:val="21"/>
                      <w:highlight w:val="none"/>
                    </w:rPr>
                    <w:t>mg</w:t>
                  </w:r>
                  <w:r>
                    <w:rPr>
                      <w:rFonts w:hint="eastAsia" w:ascii="宋体" w:hAnsi="宋体" w:eastAsia="宋体" w:cs="宋体"/>
                      <w:color w:val="auto"/>
                      <w:spacing w:val="6"/>
                      <w:sz w:val="21"/>
                      <w:szCs w:val="21"/>
                      <w:highlight w:val="none"/>
                    </w:rPr>
                    <w:t>/</w:t>
                  </w:r>
                  <w:r>
                    <w:rPr>
                      <w:rFonts w:hint="eastAsia" w:ascii="宋体" w:hAnsi="宋体" w:eastAsia="宋体" w:cs="宋体"/>
                      <w:color w:val="auto"/>
                      <w:spacing w:val="2"/>
                      <w:sz w:val="21"/>
                      <w:szCs w:val="21"/>
                      <w:highlight w:val="none"/>
                    </w:rPr>
                    <w:t>L)</w:t>
                  </w:r>
                </w:p>
              </w:tc>
            </w:tr>
            <w:tr w14:paraId="1595F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88" w:type="dxa"/>
                  <w:vAlign w:val="center"/>
                </w:tcPr>
                <w:p w14:paraId="71E6EF7C">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出水</w:t>
                  </w:r>
                  <w:r>
                    <w:rPr>
                      <w:rFonts w:hint="eastAsia" w:ascii="宋体" w:hAnsi="宋体" w:eastAsia="宋体" w:cs="宋体"/>
                      <w:color w:val="auto"/>
                      <w:spacing w:val="10"/>
                      <w:sz w:val="21"/>
                      <w:szCs w:val="21"/>
                      <w:highlight w:val="none"/>
                    </w:rPr>
                    <w:t>浓度</w:t>
                  </w:r>
                </w:p>
              </w:tc>
              <w:tc>
                <w:tcPr>
                  <w:tcW w:w="1004" w:type="dxa"/>
                  <w:vAlign w:val="center"/>
                </w:tcPr>
                <w:p w14:paraId="59660A2B">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842" w:type="dxa"/>
                  <w:vAlign w:val="center"/>
                </w:tcPr>
                <w:p w14:paraId="1CF5EA35">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20</w:t>
                  </w:r>
                </w:p>
              </w:tc>
              <w:tc>
                <w:tcPr>
                  <w:tcW w:w="842" w:type="dxa"/>
                  <w:vAlign w:val="center"/>
                </w:tcPr>
                <w:p w14:paraId="6C6ADF1B">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20</w:t>
                  </w:r>
                </w:p>
              </w:tc>
              <w:tc>
                <w:tcPr>
                  <w:tcW w:w="842" w:type="dxa"/>
                  <w:vAlign w:val="center"/>
                </w:tcPr>
                <w:p w14:paraId="09C9D458">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20</w:t>
                  </w:r>
                </w:p>
              </w:tc>
              <w:tc>
                <w:tcPr>
                  <w:tcW w:w="843" w:type="dxa"/>
                  <w:vAlign w:val="center"/>
                </w:tcPr>
                <w:p w14:paraId="0501B612">
                  <w:pPr>
                    <w:wordWrap w:val="0"/>
                    <w:spacing w:before="0" w:line="240" w:lineRule="auto"/>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8</w:t>
                  </w: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rPr>
                    <w:t>15</w:t>
                  </w:r>
                  <w:r>
                    <w:rPr>
                      <w:rFonts w:hint="eastAsia" w:ascii="宋体" w:hAnsi="宋体" w:eastAsia="宋体" w:cs="宋体"/>
                      <w:color w:val="auto"/>
                      <w:spacing w:val="4"/>
                      <w:sz w:val="21"/>
                      <w:szCs w:val="21"/>
                      <w:highlight w:val="none"/>
                      <w:lang w:eastAsia="zh-CN"/>
                    </w:rPr>
                    <w:t>)</w:t>
                  </w:r>
                </w:p>
              </w:tc>
              <w:tc>
                <w:tcPr>
                  <w:tcW w:w="696" w:type="dxa"/>
                  <w:vAlign w:val="center"/>
                </w:tcPr>
                <w:p w14:paraId="7783DE1B">
                  <w:pPr>
                    <w:wordWrap w:val="0"/>
                    <w:spacing w:before="0" w:line="240" w:lineRule="auto"/>
                    <w:ind w:lef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r>
          </w:tbl>
          <w:p w14:paraId="20AFBB20">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符合国家规定的技术质量标准和现行技术规范、规程要求。</w:t>
            </w:r>
          </w:p>
          <w:p w14:paraId="38F3C031">
            <w:pPr>
              <w:wordWrap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四、</w:t>
            </w:r>
            <w:r>
              <w:rPr>
                <w:rFonts w:hint="eastAsia" w:ascii="宋体" w:hAnsi="宋体" w:eastAsia="宋体" w:cs="宋体"/>
                <w:b/>
                <w:bCs/>
                <w:color w:val="auto"/>
                <w:kern w:val="0"/>
                <w:sz w:val="21"/>
                <w:szCs w:val="21"/>
                <w:highlight w:val="none"/>
              </w:rPr>
              <w:t>服务</w:t>
            </w:r>
            <w:r>
              <w:rPr>
                <w:rFonts w:hint="eastAsia" w:ascii="宋体" w:hAnsi="宋体" w:eastAsia="宋体" w:cs="宋体"/>
                <w:b/>
                <w:bCs/>
                <w:color w:val="auto"/>
                <w:kern w:val="0"/>
                <w:sz w:val="21"/>
                <w:szCs w:val="21"/>
                <w:highlight w:val="none"/>
                <w:lang w:eastAsia="zh-CN"/>
              </w:rPr>
              <w:t>内容及</w:t>
            </w:r>
            <w:r>
              <w:rPr>
                <w:rFonts w:hint="eastAsia" w:ascii="宋体" w:hAnsi="宋体" w:eastAsia="宋体" w:cs="宋体"/>
                <w:b/>
                <w:bCs/>
                <w:color w:val="auto"/>
                <w:kern w:val="0"/>
                <w:sz w:val="21"/>
                <w:szCs w:val="21"/>
                <w:highlight w:val="none"/>
              </w:rPr>
              <w:t>工作要求</w:t>
            </w:r>
          </w:p>
          <w:p w14:paraId="60C6276D">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本要求基于</w:t>
            </w:r>
            <w:r>
              <w:rPr>
                <w:rFonts w:hint="eastAsia" w:ascii="宋体" w:hAnsi="宋体" w:eastAsia="宋体" w:cs="宋体"/>
                <w:color w:val="auto"/>
                <w:kern w:val="0"/>
                <w:sz w:val="21"/>
                <w:szCs w:val="21"/>
                <w:highlight w:val="none"/>
                <w:lang w:eastAsia="zh-CN"/>
              </w:rPr>
              <w:t>污水处理厂</w:t>
            </w:r>
            <w:r>
              <w:rPr>
                <w:rFonts w:hint="eastAsia" w:ascii="宋体" w:hAnsi="宋体" w:eastAsia="宋体" w:cs="宋体"/>
                <w:color w:val="auto"/>
                <w:kern w:val="0"/>
                <w:sz w:val="21"/>
                <w:szCs w:val="21"/>
                <w:highlight w:val="none"/>
              </w:rPr>
              <w:t>处理规模及出水标准制定，成交供应商在服务期内须严格遵照执行，确保污水处理系统稳定、安全、高效运行，出水水质持续达标。</w:t>
            </w:r>
          </w:p>
          <w:p w14:paraId="4EDC2B0B">
            <w:pPr>
              <w:wordWrap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（一）</w:t>
            </w:r>
            <w:r>
              <w:rPr>
                <w:rFonts w:hint="eastAsia" w:ascii="宋体" w:hAnsi="宋体" w:eastAsia="宋体" w:cs="宋体"/>
                <w:b/>
                <w:bCs/>
                <w:color w:val="auto"/>
                <w:kern w:val="0"/>
                <w:sz w:val="21"/>
                <w:szCs w:val="21"/>
                <w:highlight w:val="none"/>
              </w:rPr>
              <w:t>核心运行保障要求</w:t>
            </w:r>
          </w:p>
          <w:p w14:paraId="11386DBA">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全面负责服务期内污水处理系统正常运行的全流程工作，制定科学的运行方案并严格实施。定期开展设备检修保养与日常维修工作，对于无法自主维修的设备，须及时协助采购人联系原厂家或授权服务商开展维修事宜。确保所有处理设施、设备无堵塞、渗漏、开裂、破损等异常情况；故障设备须在规定时限内修复（一般故障不超过24小时，重大故障不超过72小时），关键设备（如提升泵、曝气设备、消毒设备等）必须制定并落实备用方案，确保不影响系统整体运行。</w:t>
            </w:r>
          </w:p>
          <w:p w14:paraId="017617CC">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分类型做好设施运维：①有动力处理设施：保障各类水泵、风机、曝气设备及配套配电设施运行良好，无漏电、跳闸、异响、振动异常等现象，定期检测设备运行参数（如电流、电压、扬程、流量等），确保符合设计要求；②其他设施：按季节开展植物修枝、整形、杂草清除、病虫害防治及补种工作，确保厂区植物覆盖率及生长状态；保持污水池内基质无板结、无垃圾杂物、无杂草滋生，池体及周边绿化带内禁止堆放任何杂物，保障污水处理效率及景观整洁度。</w:t>
            </w:r>
          </w:p>
          <w:p w14:paraId="18524EC7">
            <w:pPr>
              <w:wordWrap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（二）</w:t>
            </w:r>
            <w:r>
              <w:rPr>
                <w:rFonts w:hint="eastAsia" w:ascii="宋体" w:hAnsi="宋体" w:eastAsia="宋体" w:cs="宋体"/>
                <w:b/>
                <w:bCs/>
                <w:color w:val="auto"/>
                <w:kern w:val="0"/>
                <w:sz w:val="21"/>
                <w:szCs w:val="21"/>
                <w:highlight w:val="none"/>
              </w:rPr>
              <w:t>全范围设施运维管理要求</w:t>
            </w:r>
          </w:p>
          <w:p w14:paraId="458C8EE7">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对厂区内所有设施设备及公用附属设施实施全生命周期检测与维护管理，具体涵盖：各类处理设备、构筑物、厂区道路、绿化系统、排水排污管道、给水及消防管道等；建立“日巡查、周检查、月保养”制度，详细记录检查生产维护情况，形成可追溯的设施管理档案，发现隐患</w:t>
            </w:r>
            <w:r>
              <w:rPr>
                <w:rFonts w:hint="eastAsia" w:ascii="宋体" w:hAnsi="宋体" w:eastAsia="宋体" w:cs="宋体"/>
                <w:color w:val="auto"/>
                <w:kern w:val="0"/>
                <w:sz w:val="21"/>
                <w:szCs w:val="21"/>
                <w:highlight w:val="none"/>
                <w:lang w:val="en-US" w:eastAsia="zh-CN"/>
              </w:rPr>
              <w:t>4小时内</w:t>
            </w:r>
            <w:r>
              <w:rPr>
                <w:rFonts w:hint="eastAsia" w:ascii="宋体" w:hAnsi="宋体" w:eastAsia="宋体" w:cs="宋体"/>
                <w:color w:val="auto"/>
                <w:kern w:val="0"/>
                <w:sz w:val="21"/>
                <w:szCs w:val="21"/>
                <w:highlight w:val="none"/>
              </w:rPr>
              <w:t>整改。</w:t>
            </w:r>
          </w:p>
          <w:p w14:paraId="16C1BDEF">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建立并完善污水收集管网巡查制度（需上墙），明确巡查范围、频次（重点区域每日至少1次，一般区域每周至少2次）及巡查标准；制定针对性应急处理预案（如管网堵塞、破损、雨天溢流等场景），一旦发现污水处理设施或管网破损、堵塞等问题，须立即启动响应，安排专业人员进行维修处置，防止污水外溢污染环境。</w:t>
            </w:r>
          </w:p>
          <w:p w14:paraId="35D18951">
            <w:pPr>
              <w:wordWrap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（三）</w:t>
            </w:r>
            <w:r>
              <w:rPr>
                <w:rFonts w:hint="eastAsia" w:ascii="宋体" w:hAnsi="宋体" w:eastAsia="宋体" w:cs="宋体"/>
                <w:b/>
                <w:bCs/>
                <w:color w:val="auto"/>
                <w:kern w:val="0"/>
                <w:sz w:val="21"/>
                <w:szCs w:val="21"/>
                <w:highlight w:val="none"/>
              </w:rPr>
              <w:t>安全生产与责任界定要求</w:t>
            </w:r>
          </w:p>
          <w:p w14:paraId="3D6D6E44">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严格履行设施设备运行维护安全生产主体责任，建立健全安全生产管理制度、操作规程及岗位责任制（需上墙）；加强对操作人员的安全生产教育、培训及考核，确保全员持证上岗、规范操作；定期开展安全生产检查并做好记录（每月至少1次全面检查），及时纠正违规操作、排除安全隐患。</w:t>
            </w:r>
          </w:p>
          <w:p w14:paraId="60E1F018">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若因成交供应商操作不当、维护不及时或管理失职导致设备仪器故障、安全事故发生的，除不可抗力及非供应商责任的人为损坏外，一切法律责任、经济赔偿责任及由此造成的损失均由成交供应商承担；发生事故后，须立即通报采购人，并启动应急处置机制，尽最大人力物力抢救，尽快恢复生产服务，减少对公众环境及周边居民的影响。</w:t>
            </w:r>
          </w:p>
          <w:p w14:paraId="2ECD706C">
            <w:pPr>
              <w:wordWrap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（四）</w:t>
            </w:r>
            <w:r>
              <w:rPr>
                <w:rFonts w:hint="eastAsia" w:ascii="宋体" w:hAnsi="宋体" w:eastAsia="宋体" w:cs="宋体"/>
                <w:b/>
                <w:bCs/>
                <w:color w:val="auto"/>
                <w:kern w:val="0"/>
                <w:sz w:val="21"/>
                <w:szCs w:val="21"/>
                <w:highlight w:val="none"/>
              </w:rPr>
              <w:t>物资更换与费用界定要求</w:t>
            </w:r>
          </w:p>
          <w:p w14:paraId="6A1CDA05">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污水设施运行过程中，设施设备一般性故障及管网</w:t>
            </w:r>
            <w:r>
              <w:rPr>
                <w:rFonts w:hint="eastAsia" w:ascii="宋体" w:hAnsi="宋体" w:eastAsia="宋体" w:cs="宋体"/>
                <w:color w:val="auto"/>
                <w:kern w:val="0"/>
                <w:sz w:val="21"/>
                <w:szCs w:val="21"/>
                <w:highlight w:val="none"/>
                <w:lang w:eastAsia="zh-CN"/>
              </w:rPr>
              <w:t>损坏</w:t>
            </w:r>
            <w:r>
              <w:rPr>
                <w:rFonts w:hint="eastAsia" w:ascii="宋体" w:hAnsi="宋体" w:eastAsia="宋体" w:cs="宋体"/>
                <w:color w:val="auto"/>
                <w:kern w:val="0"/>
                <w:sz w:val="21"/>
                <w:szCs w:val="21"/>
                <w:highlight w:val="none"/>
              </w:rPr>
              <w:t>等</w:t>
            </w:r>
            <w:r>
              <w:rPr>
                <w:rFonts w:hint="eastAsia" w:ascii="宋体" w:hAnsi="宋体" w:eastAsia="宋体" w:cs="宋体"/>
                <w:color w:val="auto"/>
                <w:kern w:val="0"/>
                <w:sz w:val="21"/>
                <w:szCs w:val="21"/>
                <w:highlight w:val="none"/>
                <w:lang w:eastAsia="zh-CN"/>
              </w:rPr>
              <w:t>情况</w:t>
            </w:r>
            <w:r>
              <w:rPr>
                <w:rFonts w:hint="eastAsia" w:ascii="宋体" w:hAnsi="宋体" w:eastAsia="宋体" w:cs="宋体"/>
                <w:color w:val="auto"/>
                <w:kern w:val="0"/>
                <w:sz w:val="21"/>
                <w:szCs w:val="21"/>
                <w:highlight w:val="none"/>
              </w:rPr>
              <w:t>由供应商自行修复更换，费用包含在合同价内，维修更换费用上限</w:t>
            </w:r>
            <w:r>
              <w:rPr>
                <w:rFonts w:hint="eastAsia" w:ascii="宋体" w:hAnsi="宋体" w:eastAsia="宋体" w:cs="宋体"/>
                <w:color w:val="auto"/>
                <w:kern w:val="0"/>
                <w:sz w:val="21"/>
                <w:szCs w:val="21"/>
                <w:highlight w:val="none"/>
                <w:lang w:eastAsia="zh-CN"/>
              </w:rPr>
              <w:t>6万元</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年</w:t>
            </w:r>
            <w:r>
              <w:rPr>
                <w:rFonts w:hint="eastAsia" w:ascii="宋体" w:hAnsi="宋体" w:eastAsia="宋体" w:cs="宋体"/>
                <w:color w:val="auto"/>
                <w:kern w:val="0"/>
                <w:sz w:val="21"/>
                <w:szCs w:val="21"/>
                <w:highlight w:val="none"/>
              </w:rPr>
              <w:t>，超出</w:t>
            </w:r>
            <w:r>
              <w:rPr>
                <w:rFonts w:hint="eastAsia" w:ascii="宋体" w:hAnsi="宋体" w:eastAsia="宋体" w:cs="宋体"/>
                <w:color w:val="auto"/>
                <w:kern w:val="0"/>
                <w:sz w:val="21"/>
                <w:szCs w:val="21"/>
                <w:highlight w:val="none"/>
                <w:lang w:eastAsia="zh-CN"/>
              </w:rPr>
              <w:t>6万元</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年</w:t>
            </w:r>
            <w:r>
              <w:rPr>
                <w:rFonts w:hint="eastAsia" w:ascii="宋体" w:hAnsi="宋体" w:eastAsia="宋体" w:cs="宋体"/>
                <w:color w:val="auto"/>
                <w:kern w:val="0"/>
                <w:sz w:val="21"/>
                <w:szCs w:val="21"/>
                <w:highlight w:val="none"/>
              </w:rPr>
              <w:t>由供应商报采购人，经采购人同意后进行维修或重置，费用由采购人承担，属质保期范围内的设施设备维修或重置费用由设备供应单位承担。</w:t>
            </w:r>
          </w:p>
          <w:p w14:paraId="2ADFC405">
            <w:pPr>
              <w:wordWrap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（五）</w:t>
            </w:r>
            <w:r>
              <w:rPr>
                <w:rFonts w:hint="eastAsia" w:ascii="宋体" w:hAnsi="宋体" w:eastAsia="宋体" w:cs="宋体"/>
                <w:b/>
                <w:bCs/>
                <w:color w:val="auto"/>
                <w:kern w:val="0"/>
                <w:sz w:val="21"/>
                <w:szCs w:val="21"/>
                <w:highlight w:val="none"/>
              </w:rPr>
              <w:t>运行台账与水质管控要求</w:t>
            </w:r>
          </w:p>
          <w:p w14:paraId="4B856EC9">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严格按照一级B出水标准及国家相关规范，建立健全运行管理台账体系，台账内容须完整、真实、准确，具体包括：设施运转参数（处理量、停留时间、药剂投加量等）、设备维护记录（检修内容、更换配件、保养时间等）、生态养护记录（绿化维护等）、进出水水质水量监测记录等。</w:t>
            </w:r>
          </w:p>
          <w:p w14:paraId="6B0EDA04">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建立日常水质检测与检验制度，按照国家《城镇污水处理厂污染物排放标准》（GB18918-2002）及相关规范要求，明确检测项目（如COD、BOD₅、SS、氨氮、总磷等一级B标准相关指标）、检测频次（进出水水质每周至少1次手工检测，关键指标实时监测），采用标准检测方法开展检测工作；做好检测分析资料、水质报表的汇总、归档工作，定期形成运营总结报告，按要求上报采购人备案。</w:t>
            </w:r>
          </w:p>
          <w:p w14:paraId="7D53709C">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.每月5日前（遇节假日顺延）将上月完整台账数据及相关佐证材料（含设备维修表、运营记录表、关键点位现场照片等）上报采购人存档；对提交的所有技术文件、监测数据的真实性、准确性负责。</w:t>
            </w:r>
          </w:p>
          <w:p w14:paraId="58EC4620">
            <w:pPr>
              <w:wordWrap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（六）</w:t>
            </w:r>
            <w:r>
              <w:rPr>
                <w:rFonts w:hint="eastAsia" w:ascii="宋体" w:hAnsi="宋体" w:eastAsia="宋体" w:cs="宋体"/>
                <w:b/>
                <w:bCs/>
                <w:color w:val="auto"/>
                <w:kern w:val="0"/>
                <w:sz w:val="21"/>
                <w:szCs w:val="21"/>
                <w:highlight w:val="none"/>
              </w:rPr>
              <w:t>成果交付与配合要求</w:t>
            </w:r>
          </w:p>
          <w:p w14:paraId="592CEB6E">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.服务期内须向采购人交付以下成果资料（均需加盖公章，纸质版及电子版各1份）：① 运营方案（含年度运行计划、季度调整方案）；② 设备维修表（按月汇总）；③ 运营记录表（每日记录，按月汇总）；④ 应急处置预案（含管网故障、水质超标、设备停运等场景）；⑤ 员工培训手册（含安全操作、设备维护、应急处置等内容）；⑥ 年度第三方水质检测报告（每季度至少检测一次，委托具备CMA资质的第三方检测机构出具，检测项目覆盖一级B出水标准全指标）。</w:t>
            </w:r>
          </w:p>
          <w:p w14:paraId="419F1FA6">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.积极配合采购人及环保、应急、住建等相关部门的检查、采样、监测及资料核查工作，提供必要的工作条件及完整的佐证资料；对检查发现的问题，须在规定时限内完成整改并反馈整改报告。</w:t>
            </w:r>
          </w:p>
          <w:p w14:paraId="5D2215A5">
            <w:pPr>
              <w:wordWrap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五、运营人员配置</w:t>
            </w:r>
            <w:r>
              <w:rPr>
                <w:rFonts w:hint="eastAsia" w:ascii="宋体" w:hAnsi="宋体" w:eastAsia="宋体" w:cs="宋体"/>
                <w:b/>
                <w:bCs/>
                <w:color w:val="auto"/>
                <w:kern w:val="0"/>
                <w:sz w:val="21"/>
                <w:szCs w:val="21"/>
                <w:highlight w:val="none"/>
              </w:rPr>
              <w:t>要求</w:t>
            </w:r>
          </w:p>
          <w:p w14:paraId="385576EB">
            <w:pPr>
              <w:wordWrap w:val="0"/>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1.沙头镇污水处理厂和六堡镇污水处理厂拟投入日常工作人员（含技术人员）各厂不少于2人（其中1人具有环保工程类专业技术职称或技术证书）。</w:t>
            </w:r>
          </w:p>
          <w:p w14:paraId="645758AA">
            <w:pPr>
              <w:wordWrap w:val="0"/>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服务期内，采购人发现供应商实际投入的人员不足以满足项目需要或发现人员不称职时，向供应商发出书面要求增加或更换人员的通知。供应商在收到通知后5个工作日内完成增加或更换相应人员，由此产生的费用由成交供应商自行承担。</w:t>
            </w:r>
          </w:p>
          <w:p w14:paraId="609A601E">
            <w:pPr>
              <w:wordWrap w:val="0"/>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3. 供应商须依</w:t>
            </w:r>
            <w:r>
              <w:rPr>
                <w:rFonts w:hint="eastAsia" w:ascii="宋体" w:hAnsi="宋体" w:eastAsia="宋体" w:cs="宋体"/>
                <w:color w:val="auto"/>
                <w:kern w:val="0"/>
                <w:sz w:val="21"/>
                <w:szCs w:val="21"/>
                <w:highlight w:val="none"/>
                <w:lang w:val="en-US" w:eastAsia="zh-CN"/>
              </w:rPr>
              <w:t>据《中华人民共和国劳动法》《中华人民共和国劳动合同法</w:t>
            </w:r>
            <w:r>
              <w:rPr>
                <w:rFonts w:hint="eastAsia" w:ascii="宋体" w:hAnsi="宋体" w:eastAsia="宋体" w:cs="宋体"/>
                <w:color w:val="auto"/>
                <w:kern w:val="0"/>
                <w:sz w:val="21"/>
                <w:szCs w:val="21"/>
                <w:highlight w:val="none"/>
              </w:rPr>
              <w:t>》等法律规定，按时足额发放本项目人员薪酬（含基本工资、绩效提成、加班费），依法缴纳社会保险，差旅费按约定报销。供应商应依法用工，避免引发劳动纠纷；若因供应商违法用工、欠薪或未参保等导致纠纷，由供应商承担全部责任及损失，并确保不影响项目正常运维。</w:t>
            </w:r>
          </w:p>
          <w:p w14:paraId="45DCB5FE">
            <w:pPr>
              <w:wordWrap w:val="0"/>
              <w:spacing w:line="360" w:lineRule="auto"/>
              <w:ind w:firstLine="422"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六、运营考核制度</w:t>
            </w:r>
          </w:p>
          <w:p w14:paraId="7E4B5C4A">
            <w:pPr>
              <w:wordWrap w:val="0"/>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采购人应对成交供应商的考核情况实行评分评价制度，评分周期为每个季度，1个评分周期总分为100分，对运营过程中未满足考核评分表要求的项目予以扣分。考核评分结果与运营服务费挂钩，具体如下：</w:t>
            </w:r>
          </w:p>
          <w:p w14:paraId="3D2DA4A3">
            <w:pPr>
              <w:wordWrap w:val="0"/>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1.考核评分为85分（含）以上，当季度运营服务费全额拨付；</w:t>
            </w:r>
          </w:p>
          <w:p w14:paraId="448EE3AD">
            <w:pPr>
              <w:wordWrap w:val="0"/>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2.考核评分为70（含）-85分（不含），每扣1分，减拨当季度运营服务费全额的1%，扣减额度实行累加；</w:t>
            </w:r>
          </w:p>
          <w:p w14:paraId="5EBF2558">
            <w:pPr>
              <w:wordWrap w:val="0"/>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3.考核评分为60（含）-70 分（不含），运营服务费按当季度运营服务费全额的60％拨付；</w:t>
            </w:r>
          </w:p>
          <w:p w14:paraId="415F006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4.考核评分在60分（不含）以下，运营服务费按当季度运营服务费全额的50％拨付，成交供应商按采购人要求进行限期整改；未按期完成整改的，采购人有权</w:t>
            </w:r>
            <w:r>
              <w:rPr>
                <w:rFonts w:hint="eastAsia" w:ascii="宋体" w:hAnsi="宋体" w:eastAsia="宋体" w:cs="宋体"/>
                <w:color w:val="auto"/>
                <w:sz w:val="21"/>
                <w:szCs w:val="21"/>
                <w:highlight w:val="none"/>
              </w:rPr>
              <w:t>依法</w:t>
            </w:r>
            <w:r>
              <w:rPr>
                <w:rFonts w:hint="eastAsia" w:ascii="宋体" w:hAnsi="宋体" w:eastAsia="宋体" w:cs="宋体"/>
                <w:color w:val="auto"/>
                <w:kern w:val="0"/>
                <w:sz w:val="21"/>
                <w:szCs w:val="21"/>
                <w:highlight w:val="none"/>
                <w:lang w:val="en-US" w:eastAsia="zh-CN"/>
              </w:rPr>
              <w:t>终止合同。</w:t>
            </w:r>
          </w:p>
        </w:tc>
        <w:tc>
          <w:tcPr>
            <w:tcW w:w="696" w:type="dxa"/>
            <w:noWrap/>
            <w:vAlign w:val="center"/>
          </w:tcPr>
          <w:p w14:paraId="45BE0A6F">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804" w:type="dxa"/>
            <w:noWrap/>
            <w:vAlign w:val="center"/>
          </w:tcPr>
          <w:p w14:paraId="0C0C1D61">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w:t>
            </w:r>
          </w:p>
        </w:tc>
        <w:tc>
          <w:tcPr>
            <w:tcW w:w="2186" w:type="dxa"/>
            <w:noWrap/>
            <w:vAlign w:val="center"/>
          </w:tcPr>
          <w:p w14:paraId="424BE9A7">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 w:val="21"/>
                <w:szCs w:val="21"/>
                <w:highlight w:val="none"/>
                <w:lang w:val="en-US" w:eastAsia="zh-CN"/>
              </w:rPr>
            </w:pPr>
          </w:p>
        </w:tc>
        <w:tc>
          <w:tcPr>
            <w:tcW w:w="1907" w:type="dxa"/>
            <w:noWrap/>
            <w:vAlign w:val="center"/>
          </w:tcPr>
          <w:p w14:paraId="38EB1E14">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 w:val="21"/>
                <w:szCs w:val="21"/>
                <w:highlight w:val="none"/>
                <w:lang w:val="en-US" w:eastAsia="zh-CN"/>
              </w:rPr>
            </w:pPr>
          </w:p>
        </w:tc>
      </w:tr>
      <w:tr w14:paraId="18B78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4298" w:type="dxa"/>
            <w:gridSpan w:val="9"/>
            <w:noWrap/>
            <w:vAlign w:val="center"/>
          </w:tcPr>
          <w:p w14:paraId="0AF06A07">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▲二、商务要求</w:t>
            </w:r>
          </w:p>
        </w:tc>
      </w:tr>
      <w:tr w14:paraId="1925D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17" w:type="dxa"/>
            <w:gridSpan w:val="2"/>
            <w:vMerge w:val="restart"/>
            <w:noWrap/>
            <w:vAlign w:val="center"/>
          </w:tcPr>
          <w:p w14:paraId="4ACAED1B">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p>
          <w:p w14:paraId="33CCC051">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411" w:type="dxa"/>
            <w:vMerge w:val="restart"/>
            <w:noWrap/>
            <w:vAlign w:val="center"/>
          </w:tcPr>
          <w:p w14:paraId="1141D647">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苍梧县沙头镇、六堡镇污水处理厂委托运营服务项目</w:t>
            </w:r>
          </w:p>
        </w:tc>
        <w:tc>
          <w:tcPr>
            <w:tcW w:w="7877" w:type="dxa"/>
            <w:gridSpan w:val="4"/>
            <w:noWrap w:val="0"/>
            <w:vAlign w:val="center"/>
          </w:tcPr>
          <w:p w14:paraId="5794C9BC">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合同签订时间：</w:t>
            </w:r>
            <w:r>
              <w:rPr>
                <w:rFonts w:hint="eastAsia" w:ascii="宋体" w:hAnsi="宋体" w:eastAsia="宋体" w:cs="宋体"/>
                <w:color w:val="auto"/>
                <w:sz w:val="21"/>
                <w:szCs w:val="21"/>
                <w:highlight w:val="none"/>
              </w:rPr>
              <w:t>自成交通知书发出之日起</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eastAsia="zh-CN"/>
              </w:rPr>
              <w:t>日</w:t>
            </w:r>
            <w:r>
              <w:rPr>
                <w:rFonts w:hint="eastAsia" w:ascii="宋体" w:hAnsi="宋体" w:eastAsia="宋体" w:cs="宋体"/>
                <w:color w:val="auto"/>
                <w:sz w:val="21"/>
                <w:szCs w:val="21"/>
                <w:highlight w:val="none"/>
              </w:rPr>
              <w:t>内。</w:t>
            </w:r>
          </w:p>
        </w:tc>
        <w:tc>
          <w:tcPr>
            <w:tcW w:w="2186" w:type="dxa"/>
            <w:noWrap/>
            <w:vAlign w:val="center"/>
          </w:tcPr>
          <w:p w14:paraId="7EA33942">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907" w:type="dxa"/>
            <w:noWrap/>
            <w:vAlign w:val="center"/>
          </w:tcPr>
          <w:p w14:paraId="73D546DC">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r>
      <w:tr w14:paraId="0EA82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17" w:type="dxa"/>
            <w:gridSpan w:val="2"/>
            <w:vMerge w:val="continue"/>
            <w:noWrap/>
            <w:vAlign w:val="center"/>
          </w:tcPr>
          <w:p w14:paraId="40EF8FC2">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411" w:type="dxa"/>
            <w:vMerge w:val="continue"/>
            <w:noWrap/>
            <w:vAlign w:val="center"/>
          </w:tcPr>
          <w:p w14:paraId="7D092826">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p>
        </w:tc>
        <w:tc>
          <w:tcPr>
            <w:tcW w:w="7877" w:type="dxa"/>
            <w:gridSpan w:val="4"/>
            <w:noWrap w:val="0"/>
            <w:vAlign w:val="center"/>
          </w:tcPr>
          <w:p w14:paraId="642118B0">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合同有效期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合同生效时间自本项目采购合同签订之日起开始执行。</w:t>
            </w:r>
          </w:p>
        </w:tc>
        <w:tc>
          <w:tcPr>
            <w:tcW w:w="2186" w:type="dxa"/>
            <w:noWrap/>
            <w:vAlign w:val="center"/>
          </w:tcPr>
          <w:p w14:paraId="7110F0D1">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907" w:type="dxa"/>
            <w:noWrap/>
            <w:vAlign w:val="center"/>
          </w:tcPr>
          <w:p w14:paraId="7DEA47B8">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r>
      <w:tr w14:paraId="12894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17" w:type="dxa"/>
            <w:gridSpan w:val="2"/>
            <w:vMerge w:val="continue"/>
            <w:noWrap/>
            <w:vAlign w:val="center"/>
          </w:tcPr>
          <w:p w14:paraId="341C4EDF">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411" w:type="dxa"/>
            <w:vMerge w:val="continue"/>
            <w:noWrap/>
            <w:vAlign w:val="center"/>
          </w:tcPr>
          <w:p w14:paraId="79E72609">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p>
        </w:tc>
        <w:tc>
          <w:tcPr>
            <w:tcW w:w="7877" w:type="dxa"/>
            <w:gridSpan w:val="4"/>
            <w:noWrap w:val="0"/>
            <w:vAlign w:val="center"/>
          </w:tcPr>
          <w:p w14:paraId="34DE8A0D">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服务期限及地点：</w:t>
            </w:r>
          </w:p>
          <w:p w14:paraId="70B3C9E3">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服务期限：自签订合同之日起</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个月。</w:t>
            </w:r>
          </w:p>
          <w:p w14:paraId="41A35BB5">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服务地点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广西苍梧县沙头镇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六堡镇</w:t>
            </w:r>
            <w:r>
              <w:rPr>
                <w:rFonts w:hint="eastAsia" w:ascii="宋体" w:hAnsi="宋体" w:eastAsia="宋体" w:cs="宋体"/>
                <w:color w:val="auto"/>
                <w:sz w:val="21"/>
                <w:szCs w:val="21"/>
                <w:highlight w:val="none"/>
              </w:rPr>
              <w:t>（采购人指定地点）。</w:t>
            </w:r>
          </w:p>
        </w:tc>
        <w:tc>
          <w:tcPr>
            <w:tcW w:w="2186" w:type="dxa"/>
            <w:noWrap/>
            <w:vAlign w:val="center"/>
          </w:tcPr>
          <w:p w14:paraId="03B224E9">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907" w:type="dxa"/>
            <w:noWrap/>
            <w:vAlign w:val="center"/>
          </w:tcPr>
          <w:p w14:paraId="51B98D59">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r>
      <w:tr w14:paraId="345EE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17" w:type="dxa"/>
            <w:gridSpan w:val="2"/>
            <w:vMerge w:val="continue"/>
            <w:noWrap/>
            <w:vAlign w:val="center"/>
          </w:tcPr>
          <w:p w14:paraId="6A0B4EE6">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411" w:type="dxa"/>
            <w:vMerge w:val="continue"/>
            <w:noWrap/>
            <w:vAlign w:val="center"/>
          </w:tcPr>
          <w:p w14:paraId="27831ED0">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p>
        </w:tc>
        <w:tc>
          <w:tcPr>
            <w:tcW w:w="7877" w:type="dxa"/>
            <w:gridSpan w:val="4"/>
            <w:shd w:val="clear" w:color="auto" w:fill="auto"/>
            <w:noWrap w:val="0"/>
            <w:vAlign w:val="center"/>
          </w:tcPr>
          <w:p w14:paraId="7DFF687E">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服务要求响应时间：</w:t>
            </w:r>
          </w:p>
          <w:p w14:paraId="0D7E479B">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电话咨询</w:t>
            </w:r>
          </w:p>
          <w:p w14:paraId="58B16A95">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成交供应商应当为采购人提供技术援助电话，解答采购人遇到的问题</w:t>
            </w:r>
            <w:r>
              <w:rPr>
                <w:rFonts w:hint="eastAsia" w:ascii="宋体" w:hAnsi="宋体" w:eastAsia="宋体" w:cs="宋体"/>
                <w:color w:val="auto"/>
                <w:sz w:val="21"/>
                <w:szCs w:val="21"/>
                <w:highlight w:val="none"/>
                <w:lang w:eastAsia="zh-CN"/>
              </w:rPr>
              <w:t>，在</w:t>
            </w:r>
            <w:r>
              <w:rPr>
                <w:rFonts w:hint="eastAsia" w:ascii="宋体" w:hAnsi="宋体" w:eastAsia="宋体" w:cs="宋体"/>
                <w:color w:val="auto"/>
                <w:sz w:val="21"/>
                <w:szCs w:val="21"/>
                <w:highlight w:val="none"/>
                <w:lang w:val="en-US" w:eastAsia="zh-CN"/>
              </w:rPr>
              <w:t>1小时内</w:t>
            </w:r>
            <w:r>
              <w:rPr>
                <w:rFonts w:hint="eastAsia" w:ascii="宋体" w:hAnsi="宋体" w:eastAsia="宋体" w:cs="宋体"/>
                <w:color w:val="auto"/>
                <w:sz w:val="21"/>
                <w:szCs w:val="21"/>
                <w:highlight w:val="none"/>
              </w:rPr>
              <w:t>为采购人提出解决问题的建议。</w:t>
            </w:r>
          </w:p>
          <w:p w14:paraId="64758820">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现场响应</w:t>
            </w:r>
          </w:p>
          <w:p w14:paraId="15929F6F">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rPr>
              <w:t>接到采购人通知后，供应商</w:t>
            </w:r>
            <w:r>
              <w:rPr>
                <w:rFonts w:hint="eastAsia" w:ascii="宋体" w:hAnsi="宋体" w:eastAsia="宋体" w:cs="宋体"/>
                <w:color w:val="auto"/>
                <w:sz w:val="21"/>
                <w:szCs w:val="21"/>
                <w:highlight w:val="none"/>
                <w:lang w:val="en-US" w:eastAsia="zh-CN"/>
              </w:rPr>
              <w:t>技术</w:t>
            </w:r>
            <w:r>
              <w:rPr>
                <w:rFonts w:hint="eastAsia" w:ascii="宋体" w:hAnsi="宋体" w:eastAsia="宋体" w:cs="宋体"/>
                <w:color w:val="auto"/>
                <w:sz w:val="21"/>
                <w:szCs w:val="21"/>
                <w:highlight w:val="none"/>
              </w:rPr>
              <w:t>人员能在24小时内到达现场处理问题。</w:t>
            </w:r>
          </w:p>
          <w:p w14:paraId="50949A17">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rPr>
              <w:t>因供应商管理不善导致的人身损害或财产损失等安全问题，造成的经济损失由供应商承担。</w:t>
            </w:r>
          </w:p>
          <w:p w14:paraId="7402907C">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每月向采购人汇报运营情况不低于1次。</w:t>
            </w:r>
          </w:p>
          <w:p w14:paraId="2F411ECE">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3.如有上级部门检查，成交供应商必须有</w:t>
            </w:r>
            <w:r>
              <w:rPr>
                <w:rFonts w:hint="eastAsia" w:ascii="宋体" w:hAnsi="宋体" w:eastAsia="宋体" w:cs="宋体"/>
                <w:color w:val="auto"/>
                <w:sz w:val="21"/>
                <w:szCs w:val="21"/>
                <w:highlight w:val="none"/>
                <w:lang w:eastAsia="zh-CN"/>
              </w:rPr>
              <w:t>技术</w:t>
            </w:r>
            <w:r>
              <w:rPr>
                <w:rFonts w:hint="eastAsia" w:ascii="宋体" w:hAnsi="宋体" w:eastAsia="宋体" w:cs="宋体"/>
                <w:color w:val="auto"/>
                <w:sz w:val="21"/>
                <w:szCs w:val="21"/>
                <w:highlight w:val="none"/>
              </w:rPr>
              <w:t>人员在场。</w:t>
            </w:r>
          </w:p>
          <w:p w14:paraId="56858F3E">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4.备品备件及耗材等要求：配备交通工具。零部件、污水处理设施的相关设备及排污管网维护、配件及安装材料，</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符合国家相关质量标准。</w:t>
            </w:r>
          </w:p>
          <w:p w14:paraId="5AD5D9B0">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5.成交供应商必须依据国家现行的有关规范、标准、规程和设备现行标准、规程，对委托内容进行如实检查和维护，对存在问题提出解决方案，完善设备设施，处理解决存在的故障、问题、安全隐患，保障设备的安全正常运行。</w:t>
            </w:r>
          </w:p>
        </w:tc>
        <w:tc>
          <w:tcPr>
            <w:tcW w:w="2186" w:type="dxa"/>
            <w:noWrap/>
            <w:vAlign w:val="center"/>
          </w:tcPr>
          <w:p w14:paraId="73817988">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907" w:type="dxa"/>
            <w:noWrap/>
            <w:vAlign w:val="center"/>
          </w:tcPr>
          <w:p w14:paraId="6F3C24AF">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r>
      <w:tr w14:paraId="1859D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17" w:type="dxa"/>
            <w:gridSpan w:val="2"/>
            <w:vMerge w:val="continue"/>
            <w:noWrap/>
            <w:vAlign w:val="center"/>
          </w:tcPr>
          <w:p w14:paraId="2488BDE6">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411" w:type="dxa"/>
            <w:vMerge w:val="continue"/>
            <w:noWrap/>
            <w:vAlign w:val="center"/>
          </w:tcPr>
          <w:p w14:paraId="2AFD84AA">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p>
        </w:tc>
        <w:tc>
          <w:tcPr>
            <w:tcW w:w="7877" w:type="dxa"/>
            <w:gridSpan w:val="4"/>
            <w:shd w:val="clear" w:color="auto" w:fill="auto"/>
            <w:noWrap w:val="0"/>
            <w:vAlign w:val="center"/>
          </w:tcPr>
          <w:p w14:paraId="405C80F1">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报价要求</w:t>
            </w:r>
            <w:r>
              <w:rPr>
                <w:rFonts w:hint="eastAsia" w:ascii="宋体" w:hAnsi="宋体" w:eastAsia="宋体" w:cs="宋体"/>
                <w:color w:val="auto"/>
                <w:sz w:val="21"/>
                <w:szCs w:val="21"/>
                <w:highlight w:val="none"/>
                <w:lang w:eastAsia="zh-CN"/>
              </w:rPr>
              <w:t>：</w:t>
            </w:r>
          </w:p>
          <w:p w14:paraId="2F6AD992">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报价必须包含但不限于全部的住宿费、伙食费、交通费、劳务费、劳保费、电力消耗、日常用水药剂费、栅渣及污泥处置费、日常水质化验费、第三方水质监测费（每季度</w:t>
            </w:r>
            <w:r>
              <w:rPr>
                <w:rFonts w:hint="eastAsia" w:ascii="宋体" w:hAnsi="宋体" w:eastAsia="宋体" w:cs="宋体"/>
                <w:color w:val="auto"/>
                <w:sz w:val="21"/>
                <w:szCs w:val="21"/>
                <w:highlight w:val="none"/>
                <w:lang w:eastAsia="zh-CN"/>
              </w:rPr>
              <w:t>至少</w:t>
            </w:r>
            <w:r>
              <w:rPr>
                <w:rFonts w:hint="eastAsia" w:ascii="宋体" w:hAnsi="宋体" w:eastAsia="宋体" w:cs="宋体"/>
                <w:color w:val="auto"/>
                <w:sz w:val="21"/>
                <w:szCs w:val="21"/>
                <w:highlight w:val="none"/>
              </w:rPr>
              <w:t>检测一次）、设备日常维护费、管网日常维护费、在线监测设备运维费、管理费、利润、各项税金等费用</w:t>
            </w:r>
            <w:r>
              <w:rPr>
                <w:rFonts w:hint="eastAsia" w:ascii="宋体" w:hAnsi="宋体" w:eastAsia="宋体" w:cs="宋体"/>
                <w:color w:val="auto"/>
                <w:sz w:val="21"/>
                <w:szCs w:val="21"/>
                <w:highlight w:val="none"/>
                <w:lang w:eastAsia="zh-CN"/>
              </w:rPr>
              <w:t>。</w:t>
            </w:r>
          </w:p>
          <w:p w14:paraId="116FE0F6">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其中：</w:t>
            </w:r>
          </w:p>
          <w:p w14:paraId="326DF82F">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在线监测设备运维费包含进出水在线监测设备运维。</w:t>
            </w:r>
          </w:p>
          <w:p w14:paraId="3297AABC">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设施设备一般性故障由成交供应商自行修复，费用包含在合同价内，污水处理厂一般性故障维修费用上限</w:t>
            </w:r>
            <w:r>
              <w:rPr>
                <w:rFonts w:hint="eastAsia" w:ascii="宋体" w:hAnsi="宋体" w:eastAsia="宋体" w:cs="宋体"/>
                <w:color w:val="auto"/>
                <w:sz w:val="21"/>
                <w:szCs w:val="21"/>
                <w:highlight w:val="none"/>
                <w:lang w:eastAsia="zh-CN"/>
              </w:rPr>
              <w:t>6万元</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rPr>
              <w:t>，超出</w:t>
            </w:r>
            <w:r>
              <w:rPr>
                <w:rFonts w:hint="eastAsia" w:ascii="宋体" w:hAnsi="宋体" w:eastAsia="宋体" w:cs="宋体"/>
                <w:color w:val="auto"/>
                <w:sz w:val="21"/>
                <w:szCs w:val="21"/>
                <w:highlight w:val="none"/>
                <w:lang w:eastAsia="zh-CN"/>
              </w:rPr>
              <w:t>6万元</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rPr>
              <w:t>由成交供应商报采购人，经采购人同意后进行维修或重置，费用由采购人承担，</w:t>
            </w:r>
            <w:r>
              <w:rPr>
                <w:rFonts w:hint="eastAsia" w:ascii="宋体" w:hAnsi="宋体" w:eastAsia="宋体" w:cs="宋体"/>
                <w:color w:val="auto"/>
                <w:sz w:val="21"/>
                <w:szCs w:val="21"/>
                <w:highlight w:val="none"/>
                <w:lang w:eastAsia="zh-CN"/>
              </w:rPr>
              <w:t>属于</w:t>
            </w:r>
            <w:r>
              <w:rPr>
                <w:rFonts w:hint="eastAsia" w:ascii="宋体" w:hAnsi="宋体" w:eastAsia="宋体" w:cs="宋体"/>
                <w:color w:val="auto"/>
                <w:sz w:val="21"/>
                <w:szCs w:val="21"/>
                <w:highlight w:val="none"/>
              </w:rPr>
              <w:t>质保期范围内的设施设备维修或重置费用由设备供应单位承担</w:t>
            </w:r>
            <w:r>
              <w:rPr>
                <w:rFonts w:hint="eastAsia" w:ascii="宋体" w:hAnsi="宋体" w:eastAsia="宋体" w:cs="宋体"/>
                <w:color w:val="auto"/>
                <w:sz w:val="21"/>
                <w:szCs w:val="21"/>
                <w:highlight w:val="none"/>
                <w:lang w:eastAsia="zh-CN"/>
              </w:rPr>
              <w:t>。</w:t>
            </w:r>
          </w:p>
        </w:tc>
        <w:tc>
          <w:tcPr>
            <w:tcW w:w="2186" w:type="dxa"/>
            <w:noWrap/>
            <w:vAlign w:val="center"/>
          </w:tcPr>
          <w:p w14:paraId="5429A10D">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907" w:type="dxa"/>
            <w:noWrap/>
            <w:vAlign w:val="center"/>
          </w:tcPr>
          <w:p w14:paraId="45C69C52">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r>
      <w:tr w14:paraId="6266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17" w:type="dxa"/>
            <w:gridSpan w:val="2"/>
            <w:vMerge w:val="continue"/>
            <w:noWrap/>
            <w:vAlign w:val="center"/>
          </w:tcPr>
          <w:p w14:paraId="09BA21A6">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411" w:type="dxa"/>
            <w:vMerge w:val="continue"/>
            <w:noWrap/>
            <w:vAlign w:val="center"/>
          </w:tcPr>
          <w:p w14:paraId="4EB319EE">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p>
        </w:tc>
        <w:tc>
          <w:tcPr>
            <w:tcW w:w="7877" w:type="dxa"/>
            <w:gridSpan w:val="4"/>
            <w:shd w:val="clear" w:color="auto" w:fill="auto"/>
            <w:noWrap w:val="0"/>
            <w:vAlign w:val="center"/>
          </w:tcPr>
          <w:p w14:paraId="08F23F22">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付款方式</w:t>
            </w:r>
            <w:r>
              <w:rPr>
                <w:rFonts w:hint="eastAsia" w:ascii="宋体" w:hAnsi="宋体" w:eastAsia="宋体" w:cs="宋体"/>
                <w:color w:val="auto"/>
                <w:sz w:val="21"/>
                <w:szCs w:val="21"/>
                <w:highlight w:val="none"/>
                <w:lang w:eastAsia="zh-CN"/>
              </w:rPr>
              <w:t>：</w:t>
            </w:r>
          </w:p>
          <w:p w14:paraId="527D6E20">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本项目无预付款，每季度结束后，成交供应商于</w:t>
            </w:r>
            <w:r>
              <w:rPr>
                <w:rFonts w:hint="eastAsia" w:ascii="宋体" w:hAnsi="宋体" w:eastAsia="宋体" w:cs="宋体"/>
                <w:color w:val="auto"/>
                <w:sz w:val="21"/>
                <w:szCs w:val="21"/>
                <w:highlight w:val="none"/>
                <w:lang w:eastAsia="zh-CN"/>
              </w:rPr>
              <w:t>下一</w:t>
            </w:r>
            <w:r>
              <w:rPr>
                <w:rFonts w:hint="eastAsia" w:ascii="宋体" w:hAnsi="宋体" w:eastAsia="宋体" w:cs="宋体"/>
                <w:color w:val="auto"/>
                <w:sz w:val="21"/>
                <w:szCs w:val="21"/>
                <w:highlight w:val="none"/>
              </w:rPr>
              <w:t>季度第一个月的5日前将上个季度的《运营服务费付款申请》资料报采购人进行审核。</w:t>
            </w:r>
          </w:p>
          <w:p w14:paraId="6FC77355">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采购人对成交供应商递交的《运营服务费付款申请》资料有异议的，先按递交《运营服务费付款申请》资料</w:t>
            </w:r>
            <w:r>
              <w:rPr>
                <w:rFonts w:hint="eastAsia" w:ascii="宋体" w:hAnsi="宋体" w:eastAsia="宋体" w:cs="宋体"/>
                <w:color w:val="auto"/>
                <w:sz w:val="21"/>
                <w:szCs w:val="21"/>
                <w:highlight w:val="none"/>
                <w:lang w:val="en-US" w:eastAsia="zh-CN"/>
              </w:rPr>
              <w:t>中申请</w:t>
            </w:r>
            <w:r>
              <w:rPr>
                <w:rFonts w:hint="eastAsia" w:ascii="宋体" w:hAnsi="宋体" w:eastAsia="宋体" w:cs="宋体"/>
                <w:color w:val="auto"/>
                <w:sz w:val="21"/>
                <w:szCs w:val="21"/>
                <w:highlight w:val="none"/>
              </w:rPr>
              <w:t>金额的80%支付，并且双方在</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个</w:t>
            </w:r>
            <w:r>
              <w:rPr>
                <w:rFonts w:hint="eastAsia" w:ascii="宋体" w:hAnsi="宋体" w:eastAsia="宋体" w:cs="宋体"/>
                <w:color w:val="auto"/>
                <w:sz w:val="21"/>
                <w:szCs w:val="21"/>
                <w:highlight w:val="none"/>
                <w:lang w:eastAsia="zh-CN"/>
              </w:rPr>
              <w:t>工作</w:t>
            </w:r>
            <w:r>
              <w:rPr>
                <w:rFonts w:hint="eastAsia" w:ascii="宋体" w:hAnsi="宋体" w:eastAsia="宋体" w:cs="宋体"/>
                <w:color w:val="auto"/>
                <w:sz w:val="21"/>
                <w:szCs w:val="21"/>
                <w:highlight w:val="none"/>
              </w:rPr>
              <w:t>日内对</w:t>
            </w:r>
            <w:r>
              <w:rPr>
                <w:rFonts w:hint="eastAsia" w:ascii="宋体" w:hAnsi="宋体" w:eastAsia="宋体" w:cs="宋体"/>
                <w:color w:val="auto"/>
                <w:sz w:val="21"/>
                <w:szCs w:val="21"/>
                <w:highlight w:val="none"/>
                <w:lang w:val="en-US" w:eastAsia="zh-CN"/>
              </w:rPr>
              <w:t>考核结果</w:t>
            </w:r>
            <w:r>
              <w:rPr>
                <w:rFonts w:hint="eastAsia" w:ascii="宋体" w:hAnsi="宋体" w:eastAsia="宋体" w:cs="宋体"/>
                <w:color w:val="auto"/>
                <w:sz w:val="21"/>
                <w:szCs w:val="21"/>
                <w:highlight w:val="none"/>
              </w:rPr>
              <w:t>进行核实及确认，双方确认后</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个</w:t>
            </w:r>
            <w:r>
              <w:rPr>
                <w:rFonts w:hint="eastAsia" w:ascii="宋体" w:hAnsi="宋体" w:eastAsia="宋体" w:cs="宋体"/>
                <w:color w:val="auto"/>
                <w:sz w:val="21"/>
                <w:szCs w:val="21"/>
                <w:highlight w:val="none"/>
                <w:lang w:eastAsia="zh-CN"/>
              </w:rPr>
              <w:t>工作</w:t>
            </w:r>
            <w:r>
              <w:rPr>
                <w:rFonts w:hint="eastAsia" w:ascii="宋体" w:hAnsi="宋体" w:eastAsia="宋体" w:cs="宋体"/>
                <w:color w:val="auto"/>
                <w:sz w:val="21"/>
                <w:szCs w:val="21"/>
                <w:highlight w:val="none"/>
              </w:rPr>
              <w:t>日内支付余下运营服务费。</w:t>
            </w:r>
          </w:p>
        </w:tc>
        <w:tc>
          <w:tcPr>
            <w:tcW w:w="2186" w:type="dxa"/>
            <w:noWrap/>
            <w:vAlign w:val="center"/>
          </w:tcPr>
          <w:p w14:paraId="419CC5AB">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907" w:type="dxa"/>
            <w:noWrap/>
            <w:vAlign w:val="center"/>
          </w:tcPr>
          <w:p w14:paraId="05DC0E76">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r>
      <w:tr w14:paraId="2E780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17" w:type="dxa"/>
            <w:gridSpan w:val="2"/>
            <w:vMerge w:val="continue"/>
            <w:noWrap/>
            <w:vAlign w:val="center"/>
          </w:tcPr>
          <w:p w14:paraId="5CD20B43">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411" w:type="dxa"/>
            <w:vMerge w:val="continue"/>
            <w:noWrap/>
            <w:vAlign w:val="center"/>
          </w:tcPr>
          <w:p w14:paraId="7C6094A4">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p>
        </w:tc>
        <w:tc>
          <w:tcPr>
            <w:tcW w:w="7877" w:type="dxa"/>
            <w:gridSpan w:val="4"/>
            <w:shd w:val="clear" w:color="auto" w:fill="auto"/>
            <w:noWrap w:val="0"/>
            <w:vAlign w:val="center"/>
          </w:tcPr>
          <w:p w14:paraId="74CF5F11">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验收标准</w:t>
            </w:r>
            <w:r>
              <w:rPr>
                <w:rFonts w:hint="eastAsia" w:ascii="宋体" w:hAnsi="宋体" w:eastAsia="宋体" w:cs="宋体"/>
                <w:color w:val="auto"/>
                <w:sz w:val="21"/>
                <w:szCs w:val="21"/>
                <w:highlight w:val="none"/>
                <w:lang w:eastAsia="zh-CN"/>
              </w:rPr>
              <w:t>：</w:t>
            </w:r>
          </w:p>
          <w:p w14:paraId="32F1FC54">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1.污水处理后出水主要水质指标达到《城镇污水处理厂污染物排放标准》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GB18918-2002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一级B标准。</w:t>
            </w:r>
          </w:p>
          <w:p w14:paraId="2ACE029E">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成交供应商交付服务前应对服务作出全面检查和对验收文件进行整理，并列出清单，作为采购人验收和使用的技术条件依据，验收的结果应随服务成果交采购人。成交供应商不能完整交付服务及本款规定</w:t>
            </w:r>
            <w:r>
              <w:rPr>
                <w:rFonts w:hint="eastAsia" w:ascii="宋体" w:hAnsi="宋体" w:eastAsia="宋体" w:cs="宋体"/>
                <w:color w:val="auto"/>
                <w:sz w:val="21"/>
                <w:szCs w:val="21"/>
                <w:highlight w:val="none"/>
                <w:lang w:val="en-US" w:eastAsia="zh-CN"/>
              </w:rPr>
              <w:t>验收</w:t>
            </w:r>
            <w:r>
              <w:rPr>
                <w:rFonts w:hint="eastAsia" w:ascii="宋体" w:hAnsi="宋体" w:eastAsia="宋体" w:cs="宋体"/>
                <w:color w:val="auto"/>
                <w:sz w:val="21"/>
                <w:szCs w:val="21"/>
                <w:highlight w:val="none"/>
              </w:rPr>
              <w:t>结果单证的，必须负责补齐，否则视为未按合同约定交付服务。</w:t>
            </w:r>
          </w:p>
          <w:p w14:paraId="74E879DC">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.采购人组织验收，成交供应商必须到场配合，验收合格后双方签署验收合格凭证。</w:t>
            </w:r>
          </w:p>
          <w:p w14:paraId="23CC57D0">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.验收产生的费用由成交供应商负责。</w:t>
            </w:r>
          </w:p>
        </w:tc>
        <w:tc>
          <w:tcPr>
            <w:tcW w:w="2186" w:type="dxa"/>
            <w:noWrap/>
            <w:vAlign w:val="center"/>
          </w:tcPr>
          <w:p w14:paraId="62CE19E2">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c>
          <w:tcPr>
            <w:tcW w:w="1907" w:type="dxa"/>
            <w:noWrap/>
            <w:vAlign w:val="center"/>
          </w:tcPr>
          <w:p w14:paraId="5C7E23A4">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auto"/>
                <w:sz w:val="21"/>
                <w:szCs w:val="21"/>
                <w:highlight w:val="none"/>
                <w:lang w:val="en-US" w:eastAsia="zh-CN"/>
              </w:rPr>
            </w:pPr>
          </w:p>
        </w:tc>
      </w:tr>
    </w:tbl>
    <w:p w14:paraId="3BC0EEE9">
      <w:pPr>
        <w:keepNext w:val="0"/>
        <w:keepLines w:val="0"/>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cs="宋体"/>
          <w:color w:val="auto"/>
          <w:sz w:val="21"/>
          <w:szCs w:val="21"/>
          <w:lang w:val="en-US" w:eastAsia="zh-CN"/>
        </w:rPr>
      </w:pPr>
      <w:r>
        <w:rPr>
          <w:rFonts w:hint="eastAsia" w:ascii="宋体" w:hAnsi="宋体" w:eastAsia="宋体" w:cs="宋体"/>
          <w:color w:val="auto"/>
          <w:sz w:val="21"/>
          <w:szCs w:val="21"/>
          <w:highlight w:val="none"/>
          <w:lang w:val="en-US" w:eastAsia="zh-CN"/>
        </w:rPr>
        <w:t>注：</w:t>
      </w:r>
    </w:p>
    <w:p w14:paraId="2F22B6E5">
      <w:pPr>
        <w:numPr>
          <w:ilvl w:val="0"/>
          <w:numId w:val="0"/>
        </w:numPr>
        <w:spacing w:line="360" w:lineRule="auto"/>
        <w:ind w:firstLine="420" w:firstLineChars="20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1.“▲”为实质性条款，不满足即按无效响应处理。</w:t>
      </w:r>
    </w:p>
    <w:p w14:paraId="54538B17">
      <w:pPr>
        <w:spacing w:line="360" w:lineRule="auto"/>
        <w:ind w:firstLine="424" w:firstLineChars="202"/>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2.报价供应商应根据自身的情况，对照采购需求，在“偏离说明”中注明“是”或者“否”。如“是”，请在表格中列明偏离的条款并提出要求和反馈建议。</w:t>
      </w:r>
    </w:p>
    <w:p w14:paraId="72ADFD1A">
      <w:pPr>
        <w:spacing w:line="360" w:lineRule="auto"/>
        <w:ind w:firstLine="424" w:firstLineChars="202"/>
        <w:jc w:val="left"/>
        <w:rPr>
          <w:rFonts w:hint="eastAsia" w:ascii="仿宋_GB2312" w:hAnsi="仿宋_GB2312" w:eastAsia="仿宋_GB2312" w:cs="仿宋_GB2312"/>
          <w:b/>
          <w:caps w:val="0"/>
          <w:color w:val="auto"/>
          <w:spacing w:val="0"/>
          <w:sz w:val="28"/>
          <w:szCs w:val="28"/>
          <w:highlight w:val="none"/>
          <w:lang w:val="en-US" w:eastAsia="zh-CN"/>
        </w:rPr>
      </w:pPr>
      <w:r>
        <w:rPr>
          <w:rFonts w:hint="eastAsia" w:ascii="宋体" w:hAnsi="宋体" w:eastAsia="宋体" w:cs="宋体"/>
          <w:color w:val="auto"/>
          <w:sz w:val="21"/>
          <w:szCs w:val="21"/>
          <w:highlight w:val="none"/>
          <w:lang w:val="en-US" w:eastAsia="zh-CN"/>
        </w:rPr>
        <w:t>3.市场需求调研反馈表报价供应商需逐页盖公章后反馈。</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E78459"/>
    <w:multiLevelType w:val="singleLevel"/>
    <w:tmpl w:val="77E78459"/>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61358B"/>
    <w:rsid w:val="0FA46907"/>
    <w:rsid w:val="2BED49B2"/>
    <w:rsid w:val="2F61358B"/>
    <w:rsid w:val="42B3180C"/>
    <w:rsid w:val="44F067E9"/>
    <w:rsid w:val="4D4C31A1"/>
    <w:rsid w:val="55234A01"/>
    <w:rsid w:val="574F3B8F"/>
    <w:rsid w:val="5DCC0443"/>
    <w:rsid w:val="659408EF"/>
    <w:rsid w:val="69727B77"/>
    <w:rsid w:val="712508C2"/>
    <w:rsid w:val="712D2894"/>
    <w:rsid w:val="7C827B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99"/>
    <w:pPr>
      <w:spacing w:after="120" w:line="480" w:lineRule="auto"/>
    </w:pPr>
  </w:style>
  <w:style w:type="paragraph" w:styleId="4">
    <w:name w:val="annotation text"/>
    <w:basedOn w:val="1"/>
    <w:qFormat/>
    <w:uiPriority w:val="0"/>
    <w:pPr>
      <w:jc w:val="left"/>
    </w:pPr>
  </w:style>
  <w:style w:type="paragraph" w:styleId="5">
    <w:name w:val="Body Text"/>
    <w:basedOn w:val="1"/>
    <w:qFormat/>
    <w:uiPriority w:val="99"/>
    <w:rPr>
      <w:rFonts w:ascii="宋体" w:hAnsi="宋体" w:cs="宋体"/>
      <w:sz w:val="24"/>
      <w:lang w:val="zh-CN" w:bidi="zh-CN"/>
    </w:rPr>
  </w:style>
  <w:style w:type="paragraph" w:styleId="6">
    <w:name w:val="Normal (Web)"/>
    <w:basedOn w:val="1"/>
    <w:unhideWhenUsed/>
    <w:qFormat/>
    <w:uiPriority w:val="99"/>
    <w:rPr>
      <w:sz w:val="24"/>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c6278ce7-7dd1-4954-aabd-d1d3e803d3ce</errorID>
      <errorWord>,</errorWord>
      <group>L1_Format</group>
      <groupName>格式问题</groupName>
      <ability>L2_HalfPunc</ability>
      <abilityName>全半角检查</abilityName>
      <candidateList>
        <item>，</item>
      </candidateList>
      <explain>文本全半角错误。</explain>
      <paraID>604AEF96</paraID>
      <start>38</start>
      <end>39</end>
      <status>modified</status>
      <modifiedWord>，</modifiedWord>
      <trackRevisions>false</trackRevisions>
    </reviewItem>
    <reviewItem>
      <errorID>3071a799-68ef-4652-a114-43c87bf0033a</errorID>
      <errorWord>(</errorWord>
      <group>L1_Format</group>
      <groupName>格式问题</groupName>
      <ability>L2_HalfPunc</ability>
      <abilityName>全半角检查</abilityName>
      <candidateList>
        <item>（</item>
      </candidateList>
      <explain>文本全半角错误。</explain>
      <paraID>74017F9D</paraID>
      <start>12</start>
      <end>13</end>
      <status>modified</status>
      <modifiedWord>（</modifiedWord>
      <trackRevisions>false</trackRevisions>
    </reviewItem>
    <reviewItem>
      <errorID>e8df389a-19b0-495d-a724-ae206f88e1db</errorID>
      <errorWord>)</errorWord>
      <group>L1_Format</group>
      <groupName>格式问题</groupName>
      <ability>L2_HalfPunc</ability>
      <abilityName>全半角检查</abilityName>
      <candidateList>
        <item>）</item>
      </candidateList>
      <explain>文本全半角错误。</explain>
      <paraID>74017F9D</paraID>
      <start>36</start>
      <end>37</end>
      <status>modified</status>
      <modifiedWord>）</modifiedWord>
      <trackRevisions>false</trackRevisions>
    </reviewItem>
    <reviewItem>
      <errorID>1bf99981-5585-4d3c-92b7-4b53e5d22362</errorID>
      <errorWord>(</errorWord>
      <group>L1_Format</group>
      <groupName>格式问题</groupName>
      <ability>L2_HalfPunc</ability>
      <abilityName>全半角检查</abilityName>
      <candidateList>
        <item>（</item>
      </candidateList>
      <explain>文本全半角错误。</explain>
      <paraID>74017F9D</paraID>
      <start>45</start>
      <end>46</end>
      <status>modified</status>
      <modifiedWord>（</modifiedWord>
      <trackRevisions>false</trackRevisions>
    </reviewItem>
    <reviewItem>
      <errorID>6df1d1de-321a-4d60-92b4-6ac5c66c0b5b</errorID>
      <errorWord>)</errorWord>
      <group>L1_Format</group>
      <groupName>格式问题</groupName>
      <ability>L2_HalfPunc</ability>
      <abilityName>全半角检查</abilityName>
      <candidateList>
        <item>）</item>
      </candidateList>
      <explain>文本全半角错误。</explain>
      <paraID>74017F9D</paraID>
      <start>62</start>
      <end>63</end>
      <status>modified</status>
      <modifiedWord>）</modifiedWord>
      <trackRevisions>false</trackRevisions>
    </reviewItem>
    <reviewItem>
      <errorID>73548e76-d8db-4cd5-9048-06568fc7cc50</errorID>
      <errorWord>人</errorWord>
      <group>L1_Word</group>
      <groupName>字词问题</groupName>
      <ability>L2_Typo</ability>
      <abilityName>字词错误</abilityName>
      <candidateList>
        <item>人身</item>
      </candidateList>
      <explain/>
      <paraID>696EF511</paraID>
      <start>71</start>
      <end>73</end>
      <status>modified</status>
      <modifiedWord>人身</modifiedWord>
      <trackRevisions>false</trackRevisions>
    </reviewItem>
    <reviewItem>
      <errorID>fa5553c6-b21a-49d2-b5a3-5eaa587d00df</errorID>
      <errorWord>-</errorWord>
      <group>L1_Format</group>
      <groupName>格式问题</groupName>
      <ability>L2_HalfPunc</ability>
      <abilityName>全半角检查</abilityName>
      <candidateList>
        <item>－</item>
      </candidateList>
      <explain>文本全半角错误。</explain>
      <paraID>7F53D593</paraID>
      <start>66</start>
      <end>67</end>
      <status>modified</status>
      <modifiedWord>－</modifiedWord>
      <trackRevisions>false</trackRevisions>
    </reviewItem>
    <reviewItem>
      <errorID>3cbf16f2-0832-4b5a-976d-20e84a003371</errorID>
      <errorWord>-</errorWord>
      <group>L1_Format</group>
      <groupName>格式问题</groupName>
      <ability>L2_HalfPunc</ability>
      <abilityName>全半角检查</abilityName>
      <candidateList>
        <item>－</item>
      </candidateList>
      <explain>文本全半角错误。</explain>
      <paraID>7F53D593</paraID>
      <start>73</start>
      <end>74</end>
      <status>modified</status>
      <modifiedWord>－</modifiedWord>
      <trackRevisions>false</trackRevisions>
    </reviewItem>
    <reviewItem>
      <errorID>21dd7909-2b7b-4bde-bd7c-512c85a79df1</errorID>
      <errorWord>-</errorWord>
      <group>L1_Format</group>
      <groupName>格式问题</groupName>
      <ability>L2_HalfPunc</ability>
      <abilityName>全半角检查</abilityName>
      <candidateList>
        <item>－</item>
      </candidateList>
      <explain>文本全半角错误。</explain>
      <paraID>7F53D593</paraID>
      <start>79</start>
      <end>80</end>
      <status>modified</status>
      <modifiedWord>－</modifiedWord>
      <trackRevisions>false</trackRevisions>
    </reviewItem>
    <reviewItem>
      <errorID>2d09634c-b482-4441-8afc-09d2be2e79a3</errorID>
      <errorWord>(</errorWord>
      <group>L1_Format</group>
      <groupName>格式问题</groupName>
      <ability>L2_HalfPunc</ability>
      <abilityName>全半角检查</abilityName>
      <candidateList>
        <item>（</item>
      </candidateList>
      <explain>文本全半角错误。</explain>
      <paraID>35C75454</paraID>
      <start>60</start>
      <end>61</end>
      <status>modified</status>
      <modifiedWord>（</modifiedWord>
      <trackRevisions>false</trackRevisions>
    </reviewItem>
    <reviewItem>
      <errorID>de410968-1b01-4d35-b514-3d36a6cd9089</errorID>
      <errorWord>)</errorWord>
      <group>L1_Format</group>
      <groupName>格式问题</groupName>
      <ability>L2_HalfPunc</ability>
      <abilityName>全半角检查</abilityName>
      <candidateList>
        <item>）</item>
      </candidateList>
      <explain>文本全半角错误。</explain>
      <paraID>35C75454</paraID>
      <start>73</start>
      <end>74</end>
      <status>modified</status>
      <modifiedWord>）</modifiedWord>
      <trackRevisions>false</trackRevisions>
    </reviewItem>
    <reviewItem>
      <errorID>47bfbfc3-6e7d-4f4d-bd10-65936b5d0132</errorID>
      <errorWord>污水厂</errorWord>
      <group>L1_Word</group>
      <groupName>字词问题</groupName>
      <ability>L2_Typo</ability>
      <abilityName>字词错误</abilityName>
      <candidateList>
        <item>污水处理厂</item>
      </candidateList>
      <explain/>
      <paraID>41F9D45D</paraID>
      <start>62</start>
      <end>67</end>
      <status>modified</status>
      <modifiedWord>污水处理厂</modifiedWord>
      <trackRevisions>false</trackRevisions>
    </reviewItem>
    <reviewItem>
      <errorID>cb0def53-ec39-4092-b3ee-882a3b0e8c4e</errorID>
      <errorWord>(</errorWord>
      <group>L1_Format</group>
      <groupName>格式问题</groupName>
      <ability>L2_HalfPunc</ability>
      <abilityName>全半角检查</abilityName>
      <candidateList>
        <item>（</item>
      </candidateList>
      <explain>文本全半角错误。</explain>
      <paraID>142F55DA</paraID>
      <start>17</start>
      <end>18</end>
      <status>modified</status>
      <modifiedWord>（</modifiedWord>
      <trackRevisions>false</trackRevisions>
    </reviewItem>
    <reviewItem>
      <errorID>2d31ffdd-fe36-4802-bb16-a8b1d32cb4fa</errorID>
      <errorWord>)</errorWord>
      <group>L1_Format</group>
      <groupName>格式问题</groupName>
      <ability>L2_HalfPunc</ability>
      <abilityName>全半角检查</abilityName>
      <candidateList>
        <item>）</item>
      </candidateList>
      <explain>文本全半角错误。</explain>
      <paraID>142F55DA</paraID>
      <start>26</start>
      <end>27</end>
      <status>modified</status>
      <modifiedWord>）</modifiedWord>
      <trackRevisions>false</trackRevisions>
    </reviewItem>
    <reviewItem>
      <errorID>4e33e637-444b-4ac5-986e-e43f2bdd18a2</errorID>
      <errorWord>(</errorWord>
      <group>L1_Format</group>
      <groupName>格式问题</groupName>
      <ability>L2_HalfPunc</ability>
      <abilityName>全半角检查</abilityName>
      <candidateList>
        <item>（</item>
      </candidateList>
      <explain>文本全半角错误。</explain>
      <paraID>6291CC9F</paraID>
      <start>18</start>
      <end>19</end>
      <status>modified</status>
      <modifiedWord>（</modifiedWord>
      <trackRevisions>false</trackRevisions>
    </reviewItem>
    <reviewItem>
      <errorID>c65ab207-7040-4214-9fc0-9d462280e649</errorID>
      <errorWord>)</errorWord>
      <group>L1_Format</group>
      <groupName>格式问题</groupName>
      <ability>L2_HalfPunc</ability>
      <abilityName>全半角检查</abilityName>
      <candidateList>
        <item>）</item>
      </candidateList>
      <explain>文本全半角错误。</explain>
      <paraID>6291CC9F</paraID>
      <start>27</start>
      <end>28</end>
      <status>modified</status>
      <modifiedWord>）</modifiedWord>
      <trackRevisions>false</trackRevisions>
    </reviewItem>
    <reviewItem>
      <errorID>cbf3f7ae-4cc3-4bdb-89f7-e796d7085064</errorID>
      <errorWord>（</errorWord>
      <group>L1_Format</group>
      <groupName>格式问题</groupName>
      <ability>L2_HalfPunc</ability>
      <abilityName>全半角检查</abilityName>
      <candidateList>
        <item>(</item>
      </candidateList>
      <explain>文本全半角错误。</explain>
      <paraID>24A9A8D1</paraID>
      <start>1</start>
      <end>2</end>
      <status>modified</status>
      <modifiedWord>(</modifiedWord>
      <trackRevisions>false</trackRevisions>
    </reviewItem>
    <reviewItem>
      <errorID>0f4c2811-5f05-4970-9136-cdd6dbdeb191</errorID>
      <errorWord>）</errorWord>
      <group>L1_Format</group>
      <groupName>格式问题</groupName>
      <ability>L2_HalfPunc</ability>
      <abilityName>全半角检查</abilityName>
      <candidateList>
        <item>)</item>
      </candidateList>
      <explain>文本全半角错误。</explain>
      <paraID>24A9A8D1</paraID>
      <start>4</start>
      <end>5</end>
      <status>modified</status>
      <modifiedWord>)</modifiedWord>
      <trackRevisions>false</trackRevisions>
    </reviewItem>
    <reviewItem>
      <errorID>6beeaada-0a72-425f-b663-9923d4f7a0ae</errorID>
      <errorWord>。</errorWord>
      <group>L1_Punc</group>
      <groupName>标点问题</groupName>
      <ability>L2_Punc</ability>
      <abilityName>标点符号检查</abilityName>
      <candidateList>
        <item/>
      </candidateList>
      <explain>标题文本后不使用标点符号。</explain>
      <paraID>5D67438F</paraID>
      <start>27</start>
      <end>28</end>
      <status>unmodified</status>
      <modifiedWord/>
      <trackRevisions>false</trackRevisions>
    </reviewItem>
    <reviewItem>
      <errorID>7b7b6c6e-a6f0-4572-bd57-1ef37ad12541</errorID>
      <errorWord>。</errorWord>
      <group>L1_Punc</group>
      <groupName>标点问题</groupName>
      <ability>L2_Punc</ability>
      <abilityName>标点符号检查</abilityName>
      <candidateList>
        <item/>
      </candidateList>
      <explain>标题文本后不使用标点符号。</explain>
      <paraID>6509D6E7</paraID>
      <start>41</start>
      <end>41</end>
      <status>modified</status>
      <modifiedWord/>
      <trackRevisions>false</trackRevisions>
    </reviewItem>
    <reviewItem>
      <errorID>b6e63812-22bc-4b14-8a49-f1f75afaff2e</errorID>
      <errorWord>生产与</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72C2CD31</paraID>
      <start>5</start>
      <end>8</end>
      <status>unmodified</status>
      <modifiedWord/>
      <trackRevisions>false</trackRevisions>
    </reviewItem>
    <reviewItem>
      <errorID>9ab3df17-1915-4fd6-aeb9-f1baad53aea4</errorID>
      <errorWord>服务费全额</errorWord>
      <group>L1_Word</group>
      <groupName>字词问题</groupName>
      <ability>L2_Typo</ability>
      <abilityName>字词错误</abilityName>
      <candidateList>
        <item>服务费金额</item>
      </candidateList>
      <explain/>
      <paraID>1B44A483</paraID>
      <start>33</start>
      <end>38</end>
      <status>unmodified</status>
      <modifiedWord/>
      <trackRevisions>false</trackRevisions>
    </reviewItem>
    <reviewItem>
      <errorID>bf01bfd0-f5c7-4651-99b6-5ab19df86a5e</errorID>
      <errorWord>服务费全额</errorWord>
      <group>L1_Word</group>
      <groupName>字词问题</groupName>
      <ability>L2_Typo</ability>
      <abilityName>字词错误</abilityName>
      <candidateList>
        <item>服务费金额</item>
      </candidateList>
      <explain/>
      <paraID>31579AA1</paraID>
      <start>28</start>
      <end>33</end>
      <status>unmodified</status>
      <modifiedWord/>
      <trackRevisions>false</trackRevisions>
    </reviewItem>
    <reviewItem>
      <errorID>3680cabc-f229-4ac2-9695-6089d9d0a268</errorID>
      <errorWord>，</errorWord>
      <group>L1_Word</group>
      <groupName>字词问题</groupName>
      <ability>L2_Typo</ability>
      <abilityName>字词错误</abilityName>
      <candidateList>
        <item>，在</item>
      </candidateList>
      <explain/>
      <paraID>3C7F6F12</paraID>
      <start>30</start>
      <end>32</end>
      <status>modified</status>
      <modifiedWord>，在</modifiedWord>
      <trackRevisions>false</trackRevisions>
    </reviewItem>
    <reviewItem>
      <errorID>9d12be1e-b7da-49df-aa7d-03ccd38d601c</errorID>
      <errorWord>属</errorWord>
      <group>L1_Word</group>
      <groupName>字词问题</groupName>
      <ability>L2_Typo</ability>
      <abilityName>字词错误</abilityName>
      <candidateList>
        <item>属于</item>
      </candidateList>
      <explain/>
      <paraID>3857D372</paraID>
      <start>96</start>
      <end>98</end>
      <status>modified</status>
      <modifiedWord>属于</modifiedWord>
      <trackRevisions>false</trackRevisions>
    </reviewItem>
    <reviewItem>
      <errorID>b1391bde-c60d-4c2a-9669-974ca66ebda2</errorID>
      <errorWord>(</errorWord>
      <group>L1_Format</group>
      <groupName>格式问题</groupName>
      <ability>L2_HalfPunc</ability>
      <abilityName>全半角检查</abilityName>
      <candidateList>
        <item>（</item>
      </candidateList>
      <explain>文本全半角错误。</explain>
      <paraID>6DE74F55</paraID>
      <start>33</start>
      <end>34</end>
      <status>modified</status>
      <modifiedWord>（</modifiedWord>
      <trackRevisions>false</trackRevisions>
    </reviewItem>
    <reviewItem>
      <errorID>e668e15d-afe6-479f-8eb7-199859632bc5</errorID>
      <errorWord>)</errorWord>
      <group>L1_Format</group>
      <groupName>格式问题</groupName>
      <ability>L2_HalfPunc</ability>
      <abilityName>全半角检查</abilityName>
      <candidateList>
        <item>）</item>
      </candidateList>
      <explain>文本全半角错误。</explain>
      <paraID>6DE74F55</paraID>
      <start>46</start>
      <end>47</end>
      <status>modified</status>
      <modifiedWord>）</modifiedWord>
      <trackRevisions>false</trackRevisions>
    </reviewItem>
    <reviewItem>
      <errorID>e2c5d25d-6556-48d4-a1a4-cc586afbbbb4</errorID>
      <errorWord>可于</errorWord>
      <group>L1_Word</group>
      <groupName>字词问题</groupName>
      <ability>L2_Typo</ability>
      <abilityName>字词错误</abilityName>
      <candidateList>
        <item>可以</item>
      </candidateList>
      <explain>存在发音相近字词的误用。</explain>
      <paraID>3E6EF668</paraID>
      <start>21</start>
      <end>23</end>
      <status>unmodified</status>
      <modifiedWord/>
      <trackRevisions>false</trackRevisions>
    </reviewItem>
    <reviewItem>
      <errorID>7462804c-13f1-4a7d-a311-b6cf633d7a73</errorID>
      <errorWord>(</errorWord>
      <group>L1_Format</group>
      <groupName>格式问题</groupName>
      <ability>L2_HalfPunc</ability>
      <abilityName>全半角检查</abilityName>
      <candidateList>
        <item>（</item>
      </candidateList>
      <explain>文本全半角错误。</explain>
      <paraID>7D657D83</paraID>
      <start>60</start>
      <end>61</end>
      <status>modified</status>
      <modifiedWord>（</modifiedWord>
      <trackRevisions>false</trackRevisions>
    </reviewItem>
    <reviewItem>
      <errorID>b34dd68c-cef3-4aa1-a023-498aa754b50f</errorID>
      <errorWord>)</errorWord>
      <group>L1_Format</group>
      <groupName>格式问题</groupName>
      <ability>L2_HalfPunc</ability>
      <abilityName>全半角检查</abilityName>
      <candidateList>
        <item>）</item>
      </candidateList>
      <explain>文本全半角错误。</explain>
      <paraID>7D657D83</paraID>
      <start>73</start>
      <end>74</end>
      <status>unmodified</status>
      <modifiedWord/>
      <trackRevisions>false</trackRevisions>
    </reviewItem>
    <reviewItem>
      <errorID>0b485055-9261-408e-b717-1be8521bdd19</errorID>
      <errorWord>污水厂</errorWord>
      <group>L1_Word</group>
      <groupName>字词问题</groupName>
      <ability>L2_Typo</ability>
      <abilityName>字词错误</abilityName>
      <candidateList>
        <item>污水处理厂</item>
      </candidateList>
      <explain/>
      <paraID> C10AEBB</paraID>
      <start>62</start>
      <end>67</end>
      <status>modified</status>
      <modifiedWord>污水处理厂</modifiedWord>
      <trackRevisions>false</trackRevisions>
    </reviewItem>
    <reviewItem>
      <errorID>7533aaff-4e7a-47d6-92d9-39e98e14ac36</errorID>
      <errorWord>(</errorWord>
      <group>L1_Format</group>
      <groupName>格式问题</groupName>
      <ability>L2_HalfPunc</ability>
      <abilityName>全半角检查</abilityName>
      <candidateList>
        <item>（</item>
      </candidateList>
      <explain>文本全半角错误。</explain>
      <paraID>73F1D700</paraID>
      <start>17</start>
      <end>18</end>
      <status>modified</status>
      <modifiedWord>（</modifiedWord>
      <trackRevisions>false</trackRevisions>
    </reviewItem>
    <reviewItem>
      <errorID>74768a39-17c4-448a-a3fb-806837cffcb6</errorID>
      <errorWord>)</errorWord>
      <group>L1_Format</group>
      <groupName>格式问题</groupName>
      <ability>L2_HalfPunc</ability>
      <abilityName>全半角检查</abilityName>
      <candidateList>
        <item>）</item>
      </candidateList>
      <explain>文本全半角错误。</explain>
      <paraID>73F1D700</paraID>
      <start>26</start>
      <end>27</end>
      <status>modified</status>
      <modifiedWord>）</modifiedWord>
      <trackRevisions>false</trackRevisions>
    </reviewItem>
    <reviewItem>
      <errorID>c9534cc2-c513-4a44-8110-1ca62bfde705</errorID>
      <errorWord>(</errorWord>
      <group>L1_Format</group>
      <groupName>格式问题</groupName>
      <ability>L2_HalfPunc</ability>
      <abilityName>全半角检查</abilityName>
      <candidateList>
        <item>（</item>
      </candidateList>
      <explain>文本全半角错误。</explain>
      <paraID> F305E79</paraID>
      <start>18</start>
      <end>19</end>
      <status>modified</status>
      <modifiedWord>（</modifiedWord>
      <trackRevisions>false</trackRevisions>
    </reviewItem>
    <reviewItem>
      <errorID>d2db9777-9ef2-48f1-8cdc-8a24a5b2c2f3</errorID>
      <errorWord>)</errorWord>
      <group>L1_Format</group>
      <groupName>格式问题</groupName>
      <ability>L2_HalfPunc</ability>
      <abilityName>全半角检查</abilityName>
      <candidateList>
        <item>）</item>
      </candidateList>
      <explain>文本全半角错误。</explain>
      <paraID> F305E79</paraID>
      <start>27</start>
      <end>28</end>
      <status>modified</status>
      <modifiedWord>）</modifiedWord>
      <trackRevisions>false</trackRevisions>
    </reviewItem>
    <reviewItem>
      <errorID>ee6649ed-77f2-4262-9435-42277d1471b8</errorID>
      <errorWord>（</errorWord>
      <group>L1_Format</group>
      <groupName>格式问题</groupName>
      <ability>L2_HalfPunc</ability>
      <abilityName>全半角检查</abilityName>
      <candidateList>
        <item>(</item>
      </candidateList>
      <explain>文本全半角错误。</explain>
      <paraID> 501B612</paraID>
      <start>1</start>
      <end>2</end>
      <status>modified</status>
      <modifiedWord>(</modifiedWord>
      <trackRevisions>false</trackRevisions>
    </reviewItem>
    <reviewItem>
      <errorID>d84d02ff-6c12-406c-badc-c48b0d537db5</errorID>
      <errorWord>）</errorWord>
      <group>L1_Format</group>
      <groupName>格式问题</groupName>
      <ability>L2_HalfPunc</ability>
      <abilityName>全半角检查</abilityName>
      <candidateList>
        <item>)</item>
      </candidateList>
      <explain>文本全半角错误。</explain>
      <paraID> 501B612</paraID>
      <start>4</start>
      <end>5</end>
      <status>modified</status>
      <modifiedWord>)</modifiedWord>
      <trackRevisions>false</trackRevisions>
    </reviewItem>
    <reviewItem>
      <errorID>35f27e08-09ae-415c-b451-186dd8d59edc</errorID>
      <errorWord>。</errorWord>
      <group>L1_Punc</group>
      <groupName>标点问题</groupName>
      <ability>L2_Punc</ability>
      <abilityName>标点符号检查</abilityName>
      <candidateList>
        <item/>
      </candidateList>
      <explain>标题文本后不使用标点符号。</explain>
      <paraID>20AFBB20</paraID>
      <start>27</start>
      <end>28</end>
      <status>unmodified</status>
      <modifiedWord/>
      <trackRevisions>false</trackRevisions>
    </reviewItem>
    <reviewItem>
      <errorID>6e3c3138-1c6d-4713-9c1f-3ae5933b7e17</errorID>
      <errorWord>污水厂</errorWord>
      <group>L1_Word</group>
      <groupName>字词问题</groupName>
      <ability>L2_Typo</ability>
      <abilityName>字词错误</abilityName>
      <candidateList>
        <item>污水处理厂</item>
      </candidateList>
      <explain/>
      <paraID>60C6276D</paraID>
      <start>5</start>
      <end>10</end>
      <status>modified</status>
      <modifiedWord>污水处理厂</modifiedWord>
      <trackRevisions>false</trackRevisions>
    </reviewItem>
    <reviewItem>
      <errorID>5dbef170-50b2-4548-ac89-f1926e8fbd3a</errorID>
      <errorWord>。</errorWord>
      <group>L1_Punc</group>
      <groupName>标点问题</groupName>
      <ability>L2_Punc</ability>
      <abilityName>标点符号检查</abilityName>
      <candidateList>
        <item/>
      </candidateList>
      <explain>标题文本后不使用标点符号。</explain>
      <paraID>11386DBA</paraID>
      <start>41</start>
      <end>42</end>
      <status>unmodified</status>
      <modifiedWord/>
      <trackRevisions>false</trackRevisions>
    </reviewItem>
    <reviewItem>
      <errorID>ddec0e57-71d7-46bc-9eeb-2f6a16aa31d7</errorID>
      <errorWord>生产与</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35D18951</paraID>
      <start>5</start>
      <end>8</end>
      <status>unmodified</status>
      <modifiedWord/>
      <trackRevisions>false</trackRevisions>
    </reviewItem>
    <reviewItem>
      <errorID>5024adf0-a670-4350-b836-b106f5a44ed4</errorID>
      <errorWord>服务费全额</errorWord>
      <group>L1_Word</group>
      <groupName>字词问题</groupName>
      <ability>L2_Typo</ability>
      <abilityName>字词错误</abilityName>
      <candidateList>
        <item>服务费金额</item>
      </candidateList>
      <explain/>
      <paraID>448EE3AD</paraID>
      <start>33</start>
      <end>38</end>
      <status>unmodified</status>
      <modifiedWord/>
      <trackRevisions>false</trackRevisions>
    </reviewItem>
    <reviewItem>
      <errorID>589445cd-a93a-437d-93a8-5a91842be889</errorID>
      <errorWord>服务费全额</errorWord>
      <group>L1_Word</group>
      <groupName>字词问题</groupName>
      <ability>L2_Typo</ability>
      <abilityName>字词错误</abilityName>
      <candidateList>
        <item>服务费金额</item>
      </candidateList>
      <explain/>
      <paraID>415F0061</paraID>
      <start>28</start>
      <end>33</end>
      <status>unmodified</status>
      <modifiedWord/>
      <trackRevisions>false</trackRevisions>
    </reviewItem>
    <reviewItem>
      <errorID>3d821862-3e12-4697-ab64-47d241d94ee3</errorID>
      <errorWord>，</errorWord>
      <group>L1_Word</group>
      <groupName>字词问题</groupName>
      <ability>L2_Typo</ability>
      <abilityName>字词错误</abilityName>
      <candidateList>
        <item>，在</item>
      </candidateList>
      <explain/>
      <paraID>58B16A95</paraID>
      <start>30</start>
      <end>32</end>
      <status>modified</status>
      <modifiedWord>，在</modifiedWord>
      <trackRevisions>false</trackRevisions>
    </reviewItem>
    <reviewItem>
      <errorID>5ea7e11c-f1f6-41ee-a0f5-ca3ca7dcb950</errorID>
      <errorWord>属</errorWord>
      <group>L1_Word</group>
      <groupName>字词问题</groupName>
      <ability>L2_Typo</ability>
      <abilityName>字词错误</abilityName>
      <candidateList>
        <item>属于</item>
      </candidateList>
      <explain/>
      <paraID>3297AABC</paraID>
      <start>96</start>
      <end>98</end>
      <status>modified</status>
      <modifiedWord>属于</modifiedWord>
      <trackRevisions>false</trackRevisions>
    </reviewItem>
    <reviewItem>
      <errorID>b30dff94-6fb5-43ee-9a76-599c79aa6fa5</errorID>
      <errorWord>(</errorWord>
      <group>L1_Format</group>
      <groupName>格式问题</groupName>
      <ability>L2_HalfPunc</ability>
      <abilityName>全半角检查</abilityName>
      <candidateList>
        <item>（</item>
      </candidateList>
      <explain>文本全半角错误。</explain>
      <paraID>32F1FC54</paraID>
      <start>33</start>
      <end>34</end>
      <status>modified</status>
      <modifiedWord>（</modifiedWord>
      <trackRevisions>false</trackRevisions>
    </reviewItem>
    <reviewItem>
      <errorID>9e7e6c9b-6fe0-4a80-8269-603089299e0d</errorID>
      <errorWord>)</errorWord>
      <group>L1_Format</group>
      <groupName>格式问题</groupName>
      <ability>L2_HalfPunc</ability>
      <abilityName>全半角检查</abilityName>
      <candidateList>
        <item>）</item>
      </candidateList>
      <explain>文本全半角错误。</explain>
      <paraID>32F1FC54</paraID>
      <start>46</start>
      <end>47</end>
      <status>modified</status>
      <modifiedWord>）</modifiedWord>
      <trackRevisions>false</trackRevisions>
    </reviewItem>
    <reviewItem>
      <errorID>243a26a0-296f-4478-9609-05353647df7b</errorID>
      <errorWord>求</errorWord>
      <group>L1_Word</group>
      <groupName>字词问题</groupName>
      <ability>L2_Typo</ability>
      <abilityName>字词错误</abilityName>
      <candidateList>
        <item>求和</item>
      </candidateList>
      <explain/>
      <paraID>54538B17</paraID>
      <start>63</start>
      <end>65</end>
      <status>modified</status>
      <modifiedWord>求和</modifiedWord>
      <trackRevisions>false</trackRevisions>
    </reviewItem>
  </reviewItems>
  <config/>
</contractReview>
</file>

<file path=customXml/itemProps1.xml><?xml version="1.0" encoding="utf-8"?>
<ds:datastoreItem xmlns:ds="http://schemas.openxmlformats.org/officeDocument/2006/customXml" ds:itemID="{cd883c2e-eefb-4a8d-bbf5-41f84b15a8b4}">
  <ds:schemaRefs/>
</ds:datastoreItem>
</file>

<file path=docProps/app.xml><?xml version="1.0" encoding="utf-8"?>
<Properties xmlns="http://schemas.openxmlformats.org/officeDocument/2006/extended-properties" xmlns:vt="http://schemas.openxmlformats.org/officeDocument/2006/docPropsVTypes">
  <Template>Normal.dotm</Template>
  <Pages>20</Pages>
  <Words>9904</Words>
  <Characters>10463</Characters>
  <Lines>0</Lines>
  <Paragraphs>0</Paragraphs>
  <TotalTime>28</TotalTime>
  <ScaleCrop>false</ScaleCrop>
  <LinksUpToDate>false</LinksUpToDate>
  <CharactersWithSpaces>10503</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2026-01-21T07:29:00Z</dcterms:created>
  <dc:creator>win-03</dc:creator>
  <cp:lastModifiedBy>everyone</cp:lastModifiedBy>
  <dcterms:modified xsi:type="dcterms:W3CDTF">2026-01-30T01:19:31Z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D9E4E3166B7C4076B1958A2DAF601FA4_13</vt:lpwstr>
  </property>
  <property fmtid="{D5CDD505-2E9C-101B-9397-08002B2CF9AE}" pid="4" name="KSOTemplateDocerSaveRecord">
    <vt:lpwstr>eyJoZGlkIjoiMTkwN2Y1MWIyMzdlMTU0MmMwMWMxMDY4MDY1Njg3NGIiLCJ1c2VySWQiOiI2MTI4OTUwMDYifQ==</vt:lpwstr>
  </property>
</Properties>
</file>